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7D6AA" w14:textId="547052AD" w:rsidR="0037082A" w:rsidRPr="00193A67" w:rsidRDefault="004864B8" w:rsidP="00193A67">
      <w:pPr>
        <w:spacing w:before="60"/>
        <w:rPr>
          <w:rFonts w:eastAsia="Times New Roman" w:cs="Segoe UI"/>
          <w:b/>
          <w:bCs/>
          <w:szCs w:val="24"/>
          <w:lang w:eastAsia="fi-FI"/>
        </w:rPr>
      </w:pPr>
      <w:bookmarkStart w:id="0" w:name="_Ref502140187"/>
      <w:r w:rsidRPr="008A0A97">
        <w:rPr>
          <w:rFonts w:eastAsia="Times New Roman" w:cs="Segoe UI"/>
          <w:b/>
          <w:lang w:bidi="sv-FI"/>
        </w:rPr>
        <w:tab/>
      </w:r>
      <w:r w:rsidRPr="008A0A97">
        <w:rPr>
          <w:rFonts w:eastAsia="Times New Roman" w:cs="Segoe UI"/>
          <w:b/>
          <w:lang w:bidi="sv-FI"/>
        </w:rPr>
        <w:tab/>
      </w:r>
      <w:r w:rsidRPr="008A0A97">
        <w:rPr>
          <w:rFonts w:eastAsia="Times New Roman" w:cs="Segoe UI"/>
          <w:b/>
          <w:lang w:bidi="sv-FI"/>
        </w:rPr>
        <w:tab/>
      </w:r>
      <w:r w:rsidRPr="008A0A97">
        <w:rPr>
          <w:rFonts w:eastAsia="Times New Roman" w:cs="Segoe UI"/>
          <w:b/>
          <w:lang w:bidi="sv-FI"/>
        </w:rPr>
        <w:tab/>
      </w:r>
    </w:p>
    <w:p w14:paraId="3618D1EF" w14:textId="40328F98" w:rsidR="0037082A" w:rsidRPr="008A0A97" w:rsidRDefault="0037082A" w:rsidP="0037082A">
      <w:pPr>
        <w:spacing w:line="240" w:lineRule="auto"/>
        <w:rPr>
          <w:rFonts w:eastAsia="Times New Roman" w:cs="Segoe UI"/>
          <w:lang w:eastAsia="fi-FI"/>
        </w:rPr>
      </w:pPr>
      <w:r w:rsidRPr="008A0A97">
        <w:rPr>
          <w:rFonts w:eastAsia="Times New Roman" w:cs="Segoe UI"/>
          <w:lang w:bidi="sv-FI"/>
        </w:rPr>
        <w:t>Social- och hälsovårdsministeriet</w:t>
      </w:r>
    </w:p>
    <w:p w14:paraId="713A8256" w14:textId="77777777" w:rsidR="0037082A" w:rsidRPr="008A0A97" w:rsidRDefault="0037082A" w:rsidP="0037082A">
      <w:pPr>
        <w:spacing w:before="60"/>
        <w:rPr>
          <w:rFonts w:eastAsia="Times New Roman" w:cs="Segoe UI"/>
          <w:szCs w:val="24"/>
          <w:lang w:eastAsia="fi-FI"/>
        </w:rPr>
      </w:pPr>
      <w:r w:rsidRPr="008A0A97">
        <w:rPr>
          <w:rFonts w:eastAsia="Times New Roman" w:cs="Segoe UI"/>
          <w:szCs w:val="24"/>
          <w:lang w:bidi="sv-FI"/>
        </w:rPr>
        <w:t>PB 33</w:t>
      </w:r>
    </w:p>
    <w:p w14:paraId="05B2409A" w14:textId="0B6B504F" w:rsidR="00193A67" w:rsidRPr="00193A67" w:rsidRDefault="0037082A" w:rsidP="0037082A">
      <w:pPr>
        <w:spacing w:before="60"/>
        <w:rPr>
          <w:rFonts w:eastAsia="Times New Roman" w:cs="Segoe UI"/>
          <w:szCs w:val="24"/>
          <w:lang w:eastAsia="fi-FI"/>
        </w:rPr>
      </w:pPr>
      <w:r w:rsidRPr="008A0A97">
        <w:rPr>
          <w:rFonts w:eastAsia="Times New Roman" w:cs="Segoe UI"/>
          <w:szCs w:val="24"/>
          <w:lang w:bidi="sv-FI"/>
        </w:rPr>
        <w:t>00023 Statsrådet</w:t>
      </w:r>
    </w:p>
    <w:p w14:paraId="4DBBC61A" w14:textId="77777777" w:rsidR="00193A67" w:rsidRDefault="00193A67" w:rsidP="0037082A">
      <w:pPr>
        <w:spacing w:before="60"/>
        <w:rPr>
          <w:rFonts w:eastAsia="Times New Roman" w:cs="Segoe UI"/>
          <w:lang w:eastAsia="fi-FI"/>
        </w:rPr>
      </w:pPr>
    </w:p>
    <w:p w14:paraId="50B074DB" w14:textId="77777777" w:rsidR="00193A67" w:rsidRDefault="00193A67" w:rsidP="0037082A">
      <w:pPr>
        <w:spacing w:before="60"/>
        <w:rPr>
          <w:rFonts w:eastAsia="Times New Roman" w:cs="Segoe UI"/>
          <w:lang w:eastAsia="fi-FI"/>
        </w:rPr>
      </w:pPr>
    </w:p>
    <w:p w14:paraId="2F748EE0" w14:textId="37ABB0F5" w:rsidR="008879DA" w:rsidRPr="008A0A97" w:rsidRDefault="0037082A" w:rsidP="0037082A">
      <w:pPr>
        <w:spacing w:before="60"/>
        <w:rPr>
          <w:rFonts w:ascii="Calibri" w:eastAsia="Times New Roman" w:hAnsi="Calibri" w:cs="Times New Roman"/>
          <w:i/>
          <w:iCs/>
          <w:lang w:eastAsia="fi-FI"/>
        </w:rPr>
      </w:pPr>
      <w:r w:rsidRPr="008A0A97">
        <w:rPr>
          <w:rFonts w:eastAsia="Times New Roman" w:cs="Segoe UI"/>
          <w:lang w:bidi="sv-FI"/>
        </w:rPr>
        <w:t>Er gallringsframställan 17.6.2024 (VN/3299/2024) till Riksarkivet</w:t>
      </w:r>
      <w:r w:rsidRPr="008A0A97">
        <w:rPr>
          <w:rFonts w:eastAsia="Times New Roman" w:cs="Segoe UI"/>
          <w:lang w:bidi="sv-FI"/>
        </w:rPr>
        <w:tab/>
      </w:r>
    </w:p>
    <w:p w14:paraId="08CA08D8" w14:textId="77777777" w:rsidR="0037082A" w:rsidRPr="008A0A97" w:rsidRDefault="0037082A" w:rsidP="0037082A">
      <w:pPr>
        <w:pStyle w:val="Otsikko1"/>
      </w:pPr>
      <w:r w:rsidRPr="008A0A97">
        <w:rPr>
          <w:lang w:bidi="sv-FI"/>
        </w:rPr>
        <w:t xml:space="preserve">Varaktig förvaring av journalhandlingar inom den offentliga hälso- och sjukvården </w:t>
      </w:r>
    </w:p>
    <w:p w14:paraId="559507E3" w14:textId="77777777" w:rsidR="009C6559" w:rsidRPr="008A0A97" w:rsidRDefault="009C6559" w:rsidP="00193A67">
      <w:pPr>
        <w:spacing w:after="120" w:line="240" w:lineRule="auto"/>
        <w:rPr>
          <w:rFonts w:cs="Segoe UI"/>
          <w:i/>
          <w:iCs/>
        </w:rPr>
      </w:pPr>
    </w:p>
    <w:p w14:paraId="06C575F0" w14:textId="511DE1CE" w:rsidR="00E86414" w:rsidRPr="008A0A97" w:rsidRDefault="006F72A0" w:rsidP="0037082A">
      <w:pPr>
        <w:pStyle w:val="Luettelokappale"/>
        <w:numPr>
          <w:ilvl w:val="0"/>
          <w:numId w:val="0"/>
        </w:numPr>
        <w:shd w:val="clear" w:color="auto" w:fill="FFFFFF" w:themeFill="background1"/>
        <w:spacing w:after="120" w:line="240" w:lineRule="auto"/>
        <w:contextualSpacing w:val="0"/>
        <w:rPr>
          <w:rFonts w:cs="Segoe UI"/>
        </w:rPr>
      </w:pPr>
      <w:r w:rsidRPr="008A0A97">
        <w:rPr>
          <w:rFonts w:cs="Segoe UI"/>
          <w:lang w:bidi="sv-FI"/>
        </w:rPr>
        <w:t>I arkivlagen (831/1994) avses med handlingar som ska förvaras varaktigt handlingar och informationsmaterial som enligt det som föreskrivs i eller med stöd av lag ska arkiveras och som arkiveras efter att deras förvaringstid löpt ut.</w:t>
      </w:r>
    </w:p>
    <w:p w14:paraId="42608EC8" w14:textId="1AC2E98A" w:rsidR="0037082A" w:rsidRPr="008A0A97" w:rsidRDefault="0037082A" w:rsidP="0037082A">
      <w:pPr>
        <w:spacing w:line="240" w:lineRule="auto"/>
      </w:pPr>
      <w:r w:rsidRPr="008A0A97">
        <w:rPr>
          <w:lang w:bidi="sv-FI"/>
        </w:rPr>
        <w:t>Social- och hälsovårdsministeriet har med sin gallringsframställan som nämns i referenserna begärt ett beslut av Riksarkivet om varaktig förvaring av journalhandlingar inom den offentliga hälso- och sjukvården.</w:t>
      </w:r>
    </w:p>
    <w:p w14:paraId="27720211" w14:textId="6310E405" w:rsidR="00463BB7" w:rsidRPr="008A0A97" w:rsidRDefault="00463BB7" w:rsidP="00463BB7">
      <w:pPr>
        <w:spacing w:line="240" w:lineRule="auto"/>
        <w:rPr>
          <w:bCs/>
        </w:rPr>
      </w:pPr>
      <w:r w:rsidRPr="008A0A97">
        <w:rPr>
          <w:lang w:bidi="sv-FI"/>
        </w:rPr>
        <w:t xml:space="preserve">De handlingar och informationsmaterial som ska värdebestämmas genereras i följande uppgiftsklasser inom hälso- och sjukvården: </w:t>
      </w:r>
    </w:p>
    <w:p w14:paraId="5BC61992" w14:textId="77777777" w:rsidR="00463BB7" w:rsidRPr="008A0A97" w:rsidRDefault="00463BB7" w:rsidP="008070D3">
      <w:pPr>
        <w:spacing w:after="120" w:line="240" w:lineRule="auto"/>
        <w:ind w:left="1304"/>
        <w:rPr>
          <w:bCs/>
        </w:rPr>
      </w:pPr>
      <w:bookmarkStart w:id="1" w:name="_Hlk190179888"/>
      <w:r w:rsidRPr="008A0A97">
        <w:rPr>
          <w:lang w:bidi="sv-FI"/>
        </w:rPr>
        <w:t>06.01 Förebyggande hälsovård (hälsorådgivning, screening och vaccination)</w:t>
      </w:r>
    </w:p>
    <w:p w14:paraId="59CFED40" w14:textId="68A55E1F" w:rsidR="00463BB7" w:rsidRPr="008A0A97" w:rsidRDefault="00463BB7" w:rsidP="008070D3">
      <w:pPr>
        <w:spacing w:after="120" w:line="240" w:lineRule="auto"/>
        <w:ind w:left="1304"/>
        <w:rPr>
          <w:bCs/>
        </w:rPr>
      </w:pPr>
      <w:r w:rsidRPr="008A0A97">
        <w:rPr>
          <w:lang w:bidi="sv-FI"/>
        </w:rPr>
        <w:t>06.02 Akutvård och sjuktransport för en patient</w:t>
      </w:r>
    </w:p>
    <w:p w14:paraId="18CD89B8" w14:textId="77777777" w:rsidR="00463BB7" w:rsidRPr="008A0A97" w:rsidRDefault="00463BB7" w:rsidP="008070D3">
      <w:pPr>
        <w:spacing w:after="120" w:line="240" w:lineRule="auto"/>
        <w:ind w:left="1304"/>
        <w:rPr>
          <w:bCs/>
        </w:rPr>
      </w:pPr>
      <w:r w:rsidRPr="008A0A97">
        <w:rPr>
          <w:lang w:bidi="sv-FI"/>
        </w:rPr>
        <w:t>06.03 Vård av patient</w:t>
      </w:r>
    </w:p>
    <w:p w14:paraId="1D06B21C" w14:textId="77777777" w:rsidR="006030D7" w:rsidRPr="008A0A97" w:rsidRDefault="00463BB7" w:rsidP="008070D3">
      <w:pPr>
        <w:spacing w:after="120" w:line="240" w:lineRule="auto"/>
        <w:ind w:left="1304"/>
        <w:rPr>
          <w:bCs/>
        </w:rPr>
      </w:pPr>
      <w:r w:rsidRPr="008A0A97">
        <w:rPr>
          <w:lang w:bidi="sv-FI"/>
        </w:rPr>
        <w:t xml:space="preserve">06.04 Undersökningar relaterade till vård av patient och diagnostik (avbildning, laboratorieverksamhet) </w:t>
      </w:r>
    </w:p>
    <w:p w14:paraId="173E0F90" w14:textId="5658F609" w:rsidR="006D3A2F" w:rsidRPr="008A0A97" w:rsidRDefault="00463BB7" w:rsidP="008070D3">
      <w:pPr>
        <w:spacing w:after="0" w:line="240" w:lineRule="auto"/>
        <w:ind w:left="1304"/>
        <w:rPr>
          <w:bCs/>
        </w:rPr>
      </w:pPr>
      <w:r w:rsidRPr="008A0A97">
        <w:rPr>
          <w:lang w:bidi="sv-FI"/>
        </w:rPr>
        <w:t>06.05 Uppgifter inom hälso- och sjukvården som relaterar till en avliden.</w:t>
      </w:r>
    </w:p>
    <w:bookmarkEnd w:id="0"/>
    <w:bookmarkEnd w:id="1"/>
    <w:p w14:paraId="0446AB84" w14:textId="77777777" w:rsidR="006D3A2F" w:rsidRPr="008A0A97" w:rsidRDefault="006D3A2F" w:rsidP="00193A67">
      <w:pPr>
        <w:spacing w:after="0" w:line="240" w:lineRule="auto"/>
        <w:ind w:left="1304"/>
      </w:pPr>
    </w:p>
    <w:p w14:paraId="2479D6F5" w14:textId="0F8A1B2A" w:rsidR="0037082A" w:rsidRPr="008A0A97" w:rsidRDefault="006F72A0" w:rsidP="006030D7">
      <w:pPr>
        <w:pStyle w:val="Otsikko2"/>
        <w:spacing w:before="120" w:after="240"/>
      </w:pPr>
      <w:r w:rsidRPr="008A0A97">
        <w:rPr>
          <w:lang w:bidi="sv-FI"/>
        </w:rPr>
        <w:t>Riksarkivets tidigare gallringsbeslut</w:t>
      </w:r>
    </w:p>
    <w:p w14:paraId="18393DBF" w14:textId="6AD0966D" w:rsidR="006D3A2F" w:rsidRPr="008A0A97" w:rsidRDefault="0037082A" w:rsidP="0071793C">
      <w:pPr>
        <w:spacing w:line="240" w:lineRule="auto"/>
        <w:rPr>
          <w:rFonts w:cs="Segoe UI"/>
        </w:rPr>
      </w:pPr>
      <w:r w:rsidRPr="008A0A97">
        <w:rPr>
          <w:rFonts w:cs="Segoe UI"/>
          <w:lang w:bidi="sv-FI"/>
        </w:rPr>
        <w:t>Riksarkivet (Statsarkivet fram till 30.9.1994, arkivverket under perioden 1.10.1994–31.12.2016) har tidigare utfärdat flera gallringsbeslut om journalhandlingar. De mest relevanta för det här beslutet är:</w:t>
      </w:r>
    </w:p>
    <w:p w14:paraId="6BB7877E" w14:textId="77777777" w:rsidR="006D3A2F" w:rsidRPr="008A0A97" w:rsidRDefault="006D3A2F" w:rsidP="0071793C">
      <w:pPr>
        <w:numPr>
          <w:ilvl w:val="0"/>
          <w:numId w:val="25"/>
        </w:numPr>
        <w:spacing w:after="160" w:line="240" w:lineRule="auto"/>
        <w:contextualSpacing/>
        <w:rPr>
          <w:rFonts w:eastAsia="Aptos" w:cs="Segoe UI"/>
          <w:kern w:val="2"/>
          <w14:ligatures w14:val="standardContextual"/>
        </w:rPr>
      </w:pPr>
      <w:r w:rsidRPr="008A0A97">
        <w:rPr>
          <w:rFonts w:eastAsia="Aptos" w:cs="Segoe UI"/>
          <w:kern w:val="2"/>
          <w:lang w:bidi="sv-FI"/>
          <w14:ligatures w14:val="standardContextual"/>
        </w:rPr>
        <w:t>Journalhandlingar som ska förvaras varaktigt 16.2.2009 (AL/</w:t>
      </w:r>
      <w:proofErr w:type="gramStart"/>
      <w:r w:rsidRPr="008A0A97">
        <w:rPr>
          <w:rFonts w:eastAsia="Aptos" w:cs="Segoe UI"/>
          <w:kern w:val="2"/>
          <w:lang w:bidi="sv-FI"/>
          <w14:ligatures w14:val="standardContextual"/>
        </w:rPr>
        <w:t>14372</w:t>
      </w:r>
      <w:proofErr w:type="gramEnd"/>
      <w:r w:rsidRPr="008A0A97">
        <w:rPr>
          <w:rFonts w:eastAsia="Aptos" w:cs="Segoe UI"/>
          <w:kern w:val="2"/>
          <w:lang w:bidi="sv-FI"/>
          <w14:ligatures w14:val="standardContextual"/>
        </w:rPr>
        <w:t xml:space="preserve">/07.01.01.03.01/2008) </w:t>
      </w:r>
    </w:p>
    <w:p w14:paraId="7AD5EC13" w14:textId="77777777" w:rsidR="006D3A2F" w:rsidRPr="008A0A97" w:rsidRDefault="006D3A2F" w:rsidP="0071793C">
      <w:pPr>
        <w:numPr>
          <w:ilvl w:val="0"/>
          <w:numId w:val="25"/>
        </w:numPr>
        <w:spacing w:after="0" w:line="240" w:lineRule="auto"/>
        <w:contextualSpacing/>
        <w:rPr>
          <w:rFonts w:eastAsia="Aptos" w:cs="Segoe UI"/>
          <w:kern w:val="2"/>
          <w14:ligatures w14:val="standardContextual"/>
        </w:rPr>
      </w:pPr>
      <w:r w:rsidRPr="008A0A97">
        <w:rPr>
          <w:rFonts w:eastAsia="Aptos" w:cs="Segoe UI"/>
          <w:kern w:val="2"/>
          <w:lang w:bidi="sv-FI"/>
          <w14:ligatures w14:val="standardContextual"/>
        </w:rPr>
        <w:t>Förvaring av gamla patientuppgifter i elektroniskt format varaktigt tills vidare 6.7.2015 (AL/</w:t>
      </w:r>
      <w:proofErr w:type="gramStart"/>
      <w:r w:rsidRPr="008A0A97">
        <w:rPr>
          <w:rFonts w:eastAsia="Aptos" w:cs="Segoe UI"/>
          <w:kern w:val="2"/>
          <w:lang w:bidi="sv-FI"/>
          <w14:ligatures w14:val="standardContextual"/>
        </w:rPr>
        <w:t>12013</w:t>
      </w:r>
      <w:proofErr w:type="gramEnd"/>
      <w:r w:rsidRPr="008A0A97">
        <w:rPr>
          <w:rFonts w:eastAsia="Aptos" w:cs="Segoe UI"/>
          <w:kern w:val="2"/>
          <w:lang w:bidi="sv-FI"/>
          <w14:ligatures w14:val="standardContextual"/>
        </w:rPr>
        <w:t xml:space="preserve">/07.01.01.03.02/2011) </w:t>
      </w:r>
    </w:p>
    <w:p w14:paraId="0AD171D7" w14:textId="729D22AF" w:rsidR="0071793C" w:rsidRPr="008A0A97" w:rsidRDefault="0071793C" w:rsidP="0071793C">
      <w:pPr>
        <w:pStyle w:val="Luettelokappale"/>
        <w:numPr>
          <w:ilvl w:val="0"/>
          <w:numId w:val="25"/>
        </w:numPr>
        <w:spacing w:after="0" w:line="240" w:lineRule="auto"/>
        <w:rPr>
          <w:rFonts w:eastAsia="Aptos" w:cs="Segoe UI"/>
          <w:kern w:val="2"/>
          <w14:ligatures w14:val="standardContextual"/>
        </w:rPr>
      </w:pPr>
      <w:r w:rsidRPr="008A0A97">
        <w:rPr>
          <w:rFonts w:eastAsia="Aptos" w:cs="Segoe UI"/>
          <w:kern w:val="2"/>
          <w:lang w:bidi="sv-FI"/>
          <w14:ligatures w14:val="standardContextual"/>
        </w:rPr>
        <w:lastRenderedPageBreak/>
        <w:t>Statsarkivets beslut om förvaringstider för kommunala handlingar 14.4.1989 (del 2. Handlingar inom hälso- och sjukvården).</w:t>
      </w:r>
    </w:p>
    <w:p w14:paraId="7AAEC531" w14:textId="77777777" w:rsidR="0037082A" w:rsidRPr="008A0A97" w:rsidRDefault="0037082A" w:rsidP="00193A67">
      <w:pPr>
        <w:spacing w:line="240" w:lineRule="auto"/>
        <w:rPr>
          <w:rFonts w:eastAsia="Times New Roman" w:cs="Segoe UI"/>
          <w:lang w:eastAsia="fi-FI"/>
        </w:rPr>
      </w:pPr>
    </w:p>
    <w:p w14:paraId="78CC3DF5" w14:textId="77777777" w:rsidR="006F72A0" w:rsidRPr="008A0A97" w:rsidRDefault="006F72A0" w:rsidP="0037082A">
      <w:pPr>
        <w:pStyle w:val="Otsikko2"/>
      </w:pPr>
      <w:r w:rsidRPr="008A0A97">
        <w:rPr>
          <w:lang w:bidi="sv-FI"/>
        </w:rPr>
        <w:t>Riksarkivets beslut</w:t>
      </w:r>
    </w:p>
    <w:p w14:paraId="564B58E8" w14:textId="69D24647" w:rsidR="00193A67" w:rsidRPr="008A0A97" w:rsidRDefault="00BA26EE" w:rsidP="00BA26EE">
      <w:pPr>
        <w:spacing w:before="120" w:after="120" w:line="240" w:lineRule="auto"/>
        <w:rPr>
          <w:rFonts w:eastAsia="Calibri" w:cs="Segoe UI"/>
        </w:rPr>
      </w:pPr>
      <w:r w:rsidRPr="008A0A97">
        <w:rPr>
          <w:rFonts w:eastAsia="Calibri" w:cs="Segoe UI"/>
          <w:lang w:bidi="sv-FI"/>
        </w:rPr>
        <w:t xml:space="preserve">Med stöd av 8 § i arkivlagen (831/1994) förordnar Riksarkivet om varaktig förvaring av journalhandlingar inom den offentliga hälso- och sjukvården i enlighet med de undantag som anges i tabell 1 och i kapitlet ”Tillämpning av beslutet”. </w:t>
      </w:r>
    </w:p>
    <w:p w14:paraId="593147F3" w14:textId="3C239710" w:rsidR="00506BF0" w:rsidRPr="00122738" w:rsidRDefault="00506BF0" w:rsidP="00193A67">
      <w:pPr>
        <w:pStyle w:val="Kuvaotsikko"/>
        <w:keepNext/>
        <w:spacing w:before="240"/>
        <w:rPr>
          <w:i w:val="0"/>
          <w:iCs w:val="0"/>
          <w:color w:val="auto"/>
        </w:rPr>
      </w:pPr>
      <w:r w:rsidRPr="00122738">
        <w:rPr>
          <w:i w:val="0"/>
          <w:color w:val="auto"/>
          <w:sz w:val="22"/>
          <w:szCs w:val="22"/>
          <w:lang w:bidi="sv-FI"/>
        </w:rPr>
        <w:t xml:space="preserve">Tabell </w:t>
      </w:r>
      <w:r w:rsidRPr="00122738">
        <w:rPr>
          <w:i w:val="0"/>
          <w:color w:val="auto"/>
          <w:sz w:val="22"/>
          <w:szCs w:val="22"/>
          <w:lang w:bidi="sv-FI"/>
        </w:rPr>
        <w:fldChar w:fldCharType="begin"/>
      </w:r>
      <w:r w:rsidRPr="00122738">
        <w:rPr>
          <w:i w:val="0"/>
          <w:color w:val="auto"/>
          <w:sz w:val="22"/>
          <w:szCs w:val="22"/>
          <w:lang w:bidi="sv-FI"/>
        </w:rPr>
        <w:instrText xml:space="preserve"> SEQ Taulukko \* ARABIC </w:instrText>
      </w:r>
      <w:r w:rsidRPr="00122738">
        <w:rPr>
          <w:i w:val="0"/>
          <w:color w:val="auto"/>
          <w:sz w:val="22"/>
          <w:szCs w:val="22"/>
          <w:lang w:bidi="sv-FI"/>
        </w:rPr>
        <w:fldChar w:fldCharType="separate"/>
      </w:r>
      <w:r w:rsidR="00912D9C">
        <w:rPr>
          <w:i w:val="0"/>
          <w:noProof/>
          <w:color w:val="auto"/>
          <w:sz w:val="22"/>
          <w:szCs w:val="22"/>
          <w:lang w:bidi="sv-FI"/>
        </w:rPr>
        <w:t>1</w:t>
      </w:r>
      <w:r w:rsidRPr="00122738">
        <w:rPr>
          <w:i w:val="0"/>
          <w:color w:val="auto"/>
          <w:sz w:val="22"/>
          <w:szCs w:val="22"/>
          <w:lang w:bidi="sv-FI"/>
        </w:rPr>
        <w:fldChar w:fldCharType="end"/>
      </w:r>
      <w:r w:rsidRPr="00122738">
        <w:rPr>
          <w:i w:val="0"/>
          <w:color w:val="auto"/>
          <w:sz w:val="22"/>
          <w:szCs w:val="22"/>
          <w:lang w:bidi="sv-FI"/>
        </w:rPr>
        <w:t>. Varaktig förvaring av journalhandlingar</w:t>
      </w:r>
    </w:p>
    <w:tbl>
      <w:tblPr>
        <w:tblStyle w:val="TaulukkoRuudukko"/>
        <w:tblW w:w="0" w:type="auto"/>
        <w:tblLayout w:type="fixed"/>
        <w:tblLook w:val="04A0" w:firstRow="1" w:lastRow="0" w:firstColumn="1" w:lastColumn="0" w:noHBand="0" w:noVBand="1"/>
      </w:tblPr>
      <w:tblGrid>
        <w:gridCol w:w="5665"/>
        <w:gridCol w:w="4111"/>
      </w:tblGrid>
      <w:tr w:rsidR="008A0A97" w:rsidRPr="008A0A97" w14:paraId="3A852F81" w14:textId="77777777" w:rsidTr="008070D3">
        <w:tc>
          <w:tcPr>
            <w:tcW w:w="5665" w:type="dxa"/>
            <w:shd w:val="clear" w:color="auto" w:fill="D9D9D9" w:themeFill="background1" w:themeFillShade="D9"/>
          </w:tcPr>
          <w:p w14:paraId="18EDE4CC" w14:textId="56FDFF57" w:rsidR="00811E9E" w:rsidRPr="008A0A97" w:rsidRDefault="00811E9E" w:rsidP="00CB586A">
            <w:pPr>
              <w:spacing w:before="120" w:after="120" w:line="240" w:lineRule="auto"/>
              <w:rPr>
                <w:rFonts w:eastAsia="Calibri" w:cs="Segoe UI"/>
                <w:b/>
                <w:bCs/>
              </w:rPr>
            </w:pPr>
            <w:r w:rsidRPr="008A0A97">
              <w:rPr>
                <w:rFonts w:eastAsia="Calibri" w:cs="Segoe UI"/>
                <w:b/>
                <w:lang w:bidi="sv-FI"/>
              </w:rPr>
              <w:t>Typ av handling</w:t>
            </w:r>
          </w:p>
        </w:tc>
        <w:tc>
          <w:tcPr>
            <w:tcW w:w="4111" w:type="dxa"/>
            <w:shd w:val="clear" w:color="auto" w:fill="D9D9D9" w:themeFill="background1" w:themeFillShade="D9"/>
          </w:tcPr>
          <w:p w14:paraId="796F365B" w14:textId="77777777" w:rsidR="00811E9E" w:rsidRPr="008A0A97" w:rsidRDefault="00811E9E" w:rsidP="00CB586A">
            <w:pPr>
              <w:spacing w:before="120" w:after="120" w:line="240" w:lineRule="auto"/>
              <w:rPr>
                <w:rFonts w:eastAsia="Calibri" w:cs="Segoe UI"/>
                <w:b/>
                <w:bCs/>
              </w:rPr>
            </w:pPr>
            <w:r w:rsidRPr="008A0A97">
              <w:rPr>
                <w:rFonts w:eastAsia="Calibri" w:cs="Segoe UI"/>
                <w:b/>
                <w:lang w:bidi="sv-FI"/>
              </w:rPr>
              <w:t>Varaktig förvaring/förvaring under bestämd tid</w:t>
            </w:r>
          </w:p>
        </w:tc>
      </w:tr>
      <w:tr w:rsidR="008A0A97" w:rsidRPr="008A0A97" w14:paraId="12427913" w14:textId="77777777" w:rsidTr="008070D3">
        <w:tc>
          <w:tcPr>
            <w:tcW w:w="5665" w:type="dxa"/>
          </w:tcPr>
          <w:p w14:paraId="79F1C959" w14:textId="45A9E202" w:rsidR="00811E9E" w:rsidRPr="008A0A97" w:rsidRDefault="00811E9E" w:rsidP="00CB586A">
            <w:pPr>
              <w:spacing w:before="120" w:after="120" w:line="240" w:lineRule="auto"/>
              <w:rPr>
                <w:rFonts w:eastAsia="Calibri" w:cs="Segoe UI"/>
              </w:rPr>
            </w:pPr>
            <w:r w:rsidRPr="008A0A97">
              <w:rPr>
                <w:rFonts w:eastAsia="Calibri" w:cs="Segoe UI"/>
                <w:lang w:bidi="sv-FI"/>
              </w:rPr>
              <w:t>Anteckningar och sammanfattningar av servicehändelser inom hälso- och sjukvården, det vill säga besök vid öppenvården (och motsvarande vård som ges elektroniskt) och anteckningar över vårdperioder inom avdelningsvården som rör diagnostik och planering, genomförande, uppföljning och utvärdering av vården</w:t>
            </w:r>
          </w:p>
        </w:tc>
        <w:tc>
          <w:tcPr>
            <w:tcW w:w="4111" w:type="dxa"/>
          </w:tcPr>
          <w:p w14:paraId="2FECAF3F" w14:textId="3E36C7C2" w:rsidR="003E2F46" w:rsidRPr="008A0A97" w:rsidRDefault="00B66C9E" w:rsidP="00CB586A">
            <w:pPr>
              <w:spacing w:before="120" w:after="120" w:line="240" w:lineRule="auto"/>
              <w:rPr>
                <w:rFonts w:eastAsia="Calibri" w:cs="Segoe UI"/>
              </w:rPr>
            </w:pPr>
            <w:r w:rsidRPr="008A0A97">
              <w:rPr>
                <w:rFonts w:eastAsia="Calibri" w:cs="Segoe UI"/>
                <w:lang w:bidi="sv-FI"/>
              </w:rPr>
              <w:t>Handlingarna ska förvaras varaktigt, med undantag för dagliga anteckningar inom vårdarbete.</w:t>
            </w:r>
          </w:p>
          <w:p w14:paraId="4BC651F1" w14:textId="227532D2" w:rsidR="00811E9E" w:rsidRPr="008A0A97" w:rsidRDefault="00811E9E" w:rsidP="00CB586A">
            <w:pPr>
              <w:spacing w:before="120" w:after="120" w:line="240" w:lineRule="auto"/>
              <w:rPr>
                <w:rFonts w:eastAsia="Calibri" w:cs="Segoe UI"/>
                <w:strike/>
              </w:rPr>
            </w:pPr>
          </w:p>
        </w:tc>
      </w:tr>
      <w:tr w:rsidR="008A0A97" w:rsidRPr="008A0A97" w14:paraId="0C99C985" w14:textId="77777777" w:rsidTr="008070D3">
        <w:tc>
          <w:tcPr>
            <w:tcW w:w="5665" w:type="dxa"/>
          </w:tcPr>
          <w:p w14:paraId="1B2B7E4F" w14:textId="322CD684" w:rsidR="00811E9E" w:rsidRPr="008A0A97" w:rsidRDefault="00811E9E" w:rsidP="00CB586A">
            <w:pPr>
              <w:spacing w:before="120" w:after="120" w:line="240" w:lineRule="auto"/>
              <w:rPr>
                <w:rFonts w:eastAsia="Calibri" w:cs="Segoe UI"/>
              </w:rPr>
            </w:pPr>
            <w:r w:rsidRPr="008A0A97">
              <w:rPr>
                <w:rFonts w:eastAsia="Calibri" w:cs="Segoe UI"/>
                <w:lang w:bidi="sv-FI"/>
              </w:rPr>
              <w:t>Mellan- och slututvärderingar</w:t>
            </w:r>
          </w:p>
        </w:tc>
        <w:tc>
          <w:tcPr>
            <w:tcW w:w="4111" w:type="dxa"/>
          </w:tcPr>
          <w:p w14:paraId="6E995D36" w14:textId="052B55FE" w:rsidR="00811E9E" w:rsidRPr="008A0A97" w:rsidRDefault="00363F63" w:rsidP="00CB586A">
            <w:pPr>
              <w:spacing w:before="120" w:after="120" w:line="240" w:lineRule="auto"/>
              <w:rPr>
                <w:rFonts w:eastAsia="Calibri" w:cs="Segoe UI"/>
                <w:highlight w:val="yellow"/>
              </w:rPr>
            </w:pPr>
            <w:r w:rsidRPr="008A0A97">
              <w:rPr>
                <w:lang w:bidi="sv-FI"/>
              </w:rPr>
              <w:t>Varaktig förvaring</w:t>
            </w:r>
          </w:p>
        </w:tc>
      </w:tr>
      <w:tr w:rsidR="008A0A97" w:rsidRPr="008A0A97" w14:paraId="703340A4" w14:textId="77777777" w:rsidTr="008070D3">
        <w:tc>
          <w:tcPr>
            <w:tcW w:w="5665" w:type="dxa"/>
          </w:tcPr>
          <w:p w14:paraId="02D4B22F" w14:textId="6A8EB17C" w:rsidR="00811E9E" w:rsidRPr="008A0A97" w:rsidRDefault="00802A50" w:rsidP="00CB586A">
            <w:pPr>
              <w:spacing w:before="120" w:after="120" w:line="240" w:lineRule="auto"/>
              <w:rPr>
                <w:rFonts w:eastAsia="Calibri" w:cs="Segoe UI"/>
              </w:rPr>
            </w:pPr>
            <w:r w:rsidRPr="008A0A97">
              <w:rPr>
                <w:rFonts w:eastAsia="Calibri" w:cs="Segoe UI"/>
                <w:lang w:bidi="sv-FI"/>
              </w:rPr>
              <w:t>Hälso- och vårdplaner och andra planer som gäller vård</w:t>
            </w:r>
          </w:p>
        </w:tc>
        <w:tc>
          <w:tcPr>
            <w:tcW w:w="4111" w:type="dxa"/>
          </w:tcPr>
          <w:p w14:paraId="34C477C3" w14:textId="7F3BD56F" w:rsidR="00811E9E" w:rsidRPr="008A0A97" w:rsidRDefault="00363F63" w:rsidP="00CB586A">
            <w:pPr>
              <w:spacing w:before="120" w:after="120" w:line="240" w:lineRule="auto"/>
              <w:rPr>
                <w:rFonts w:eastAsia="Calibri" w:cs="Segoe UI"/>
                <w:highlight w:val="yellow"/>
              </w:rPr>
            </w:pPr>
            <w:r w:rsidRPr="008A0A97">
              <w:rPr>
                <w:lang w:bidi="sv-FI"/>
              </w:rPr>
              <w:t>Varaktig förvaring</w:t>
            </w:r>
          </w:p>
        </w:tc>
      </w:tr>
      <w:tr w:rsidR="008A0A97" w:rsidRPr="008A0A97" w14:paraId="4ADD0919" w14:textId="77777777" w:rsidTr="008070D3">
        <w:tc>
          <w:tcPr>
            <w:tcW w:w="5665" w:type="dxa"/>
          </w:tcPr>
          <w:p w14:paraId="7943CB63" w14:textId="3577F90A" w:rsidR="00811E9E" w:rsidRPr="008A0A97" w:rsidRDefault="00811E9E" w:rsidP="00CB586A">
            <w:pPr>
              <w:spacing w:before="120" w:after="120" w:line="240" w:lineRule="auto"/>
              <w:rPr>
                <w:rFonts w:eastAsia="Calibri" w:cs="Segoe UI"/>
              </w:rPr>
            </w:pPr>
            <w:r w:rsidRPr="008A0A97">
              <w:rPr>
                <w:rFonts w:eastAsia="Calibri" w:cs="Segoe UI"/>
                <w:lang w:bidi="sv-FI"/>
              </w:rPr>
              <w:t xml:space="preserve">Remisser och utlåtanden </w:t>
            </w:r>
          </w:p>
        </w:tc>
        <w:tc>
          <w:tcPr>
            <w:tcW w:w="4111" w:type="dxa"/>
          </w:tcPr>
          <w:p w14:paraId="38DE7FE3" w14:textId="5699B5E5" w:rsidR="00811E9E" w:rsidRPr="008A0A97" w:rsidRDefault="00363F63" w:rsidP="00CB586A">
            <w:pPr>
              <w:spacing w:before="120" w:after="120" w:line="240" w:lineRule="auto"/>
              <w:rPr>
                <w:rFonts w:eastAsia="Calibri" w:cs="Segoe UI"/>
                <w:highlight w:val="yellow"/>
              </w:rPr>
            </w:pPr>
            <w:r w:rsidRPr="008A0A97">
              <w:rPr>
                <w:lang w:bidi="sv-FI"/>
              </w:rPr>
              <w:t>Varaktig förvaring</w:t>
            </w:r>
          </w:p>
        </w:tc>
      </w:tr>
      <w:tr w:rsidR="008A0A97" w:rsidRPr="008A0A97" w14:paraId="07CDC737" w14:textId="77777777" w:rsidTr="008070D3">
        <w:tc>
          <w:tcPr>
            <w:tcW w:w="5665" w:type="dxa"/>
          </w:tcPr>
          <w:p w14:paraId="1CB2D18F" w14:textId="57051DBB" w:rsidR="00811E9E" w:rsidRPr="008A0A97" w:rsidRDefault="00811E9E" w:rsidP="00CB586A">
            <w:pPr>
              <w:spacing w:before="120" w:after="120" w:line="240" w:lineRule="auto"/>
              <w:rPr>
                <w:rFonts w:eastAsia="Calibri" w:cs="Segoe UI"/>
              </w:rPr>
            </w:pPr>
            <w:r w:rsidRPr="008A0A97">
              <w:rPr>
                <w:rFonts w:eastAsia="Calibri" w:cs="Segoe UI"/>
                <w:lang w:bidi="sv-FI"/>
              </w:rPr>
              <w:t>Begäran om konsultation och svar</w:t>
            </w:r>
          </w:p>
        </w:tc>
        <w:tc>
          <w:tcPr>
            <w:tcW w:w="4111" w:type="dxa"/>
          </w:tcPr>
          <w:p w14:paraId="131E2DC0" w14:textId="61E3F40C" w:rsidR="00811E9E" w:rsidRPr="008A0A97" w:rsidRDefault="00363F63" w:rsidP="00CB586A">
            <w:pPr>
              <w:spacing w:before="120" w:after="120" w:line="240" w:lineRule="auto"/>
              <w:rPr>
                <w:rFonts w:eastAsia="Calibri" w:cs="Segoe UI"/>
                <w:highlight w:val="yellow"/>
              </w:rPr>
            </w:pPr>
            <w:r w:rsidRPr="008A0A97">
              <w:rPr>
                <w:lang w:bidi="sv-FI"/>
              </w:rPr>
              <w:t>Varaktig förvaring</w:t>
            </w:r>
          </w:p>
        </w:tc>
      </w:tr>
      <w:tr w:rsidR="008A0A97" w:rsidRPr="008A0A97" w14:paraId="626B9913" w14:textId="77777777" w:rsidTr="008070D3">
        <w:tc>
          <w:tcPr>
            <w:tcW w:w="5665" w:type="dxa"/>
          </w:tcPr>
          <w:p w14:paraId="7C603FC0" w14:textId="32818104" w:rsidR="00811E9E" w:rsidRPr="008A0A97" w:rsidRDefault="00811E9E" w:rsidP="00CB586A">
            <w:pPr>
              <w:spacing w:before="120" w:after="120" w:line="240" w:lineRule="auto"/>
              <w:rPr>
                <w:rFonts w:eastAsia="Calibri" w:cs="Segoe UI"/>
              </w:rPr>
            </w:pPr>
            <w:r w:rsidRPr="008A0A97">
              <w:rPr>
                <w:rFonts w:eastAsia="Calibri" w:cs="Segoe UI"/>
                <w:lang w:bidi="sv-FI"/>
              </w:rPr>
              <w:t>Beslut som rör vård oberoende av patientens vilja</w:t>
            </w:r>
          </w:p>
        </w:tc>
        <w:tc>
          <w:tcPr>
            <w:tcW w:w="4111" w:type="dxa"/>
          </w:tcPr>
          <w:p w14:paraId="137AA07D" w14:textId="011652BF" w:rsidR="00811E9E" w:rsidRPr="008A0A97" w:rsidRDefault="00363F63" w:rsidP="00CB586A">
            <w:pPr>
              <w:spacing w:before="120" w:after="120" w:line="240" w:lineRule="auto"/>
              <w:rPr>
                <w:rFonts w:eastAsia="Calibri" w:cs="Segoe UI"/>
                <w:highlight w:val="yellow"/>
              </w:rPr>
            </w:pPr>
            <w:r w:rsidRPr="008A0A97">
              <w:rPr>
                <w:lang w:bidi="sv-FI"/>
              </w:rPr>
              <w:t>Varaktig förvaring</w:t>
            </w:r>
          </w:p>
        </w:tc>
      </w:tr>
      <w:tr w:rsidR="008A0A97" w:rsidRPr="008A0A97" w14:paraId="738BF99B" w14:textId="77777777" w:rsidTr="008070D3">
        <w:tc>
          <w:tcPr>
            <w:tcW w:w="5665" w:type="dxa"/>
          </w:tcPr>
          <w:p w14:paraId="54DC5A8C" w14:textId="5BF3A5E0" w:rsidR="00811E9E" w:rsidRPr="008A0A97" w:rsidRDefault="00811E9E" w:rsidP="00CB586A">
            <w:pPr>
              <w:spacing w:before="120" w:after="120" w:line="240" w:lineRule="auto"/>
              <w:rPr>
                <w:rFonts w:eastAsia="Calibri" w:cs="Segoe UI"/>
              </w:rPr>
            </w:pPr>
            <w:r w:rsidRPr="008A0A97">
              <w:rPr>
                <w:rFonts w:eastAsia="Calibri" w:cs="Segoe UI"/>
                <w:lang w:bidi="sv-FI"/>
              </w:rPr>
              <w:t>Vårdkort för cellgiftsbehandling</w:t>
            </w:r>
          </w:p>
        </w:tc>
        <w:tc>
          <w:tcPr>
            <w:tcW w:w="4111" w:type="dxa"/>
          </w:tcPr>
          <w:p w14:paraId="248A953D" w14:textId="50710975" w:rsidR="00811E9E" w:rsidRPr="008A0A97" w:rsidRDefault="00363F63" w:rsidP="00CB586A">
            <w:pPr>
              <w:spacing w:before="120" w:after="120" w:line="240" w:lineRule="auto"/>
              <w:rPr>
                <w:rFonts w:eastAsia="Calibri" w:cs="Segoe UI"/>
                <w:highlight w:val="yellow"/>
              </w:rPr>
            </w:pPr>
            <w:r w:rsidRPr="008A0A97">
              <w:rPr>
                <w:lang w:bidi="sv-FI"/>
              </w:rPr>
              <w:t>Varaktig förvaring</w:t>
            </w:r>
          </w:p>
        </w:tc>
      </w:tr>
      <w:tr w:rsidR="008A0A97" w:rsidRPr="008A0A97" w14:paraId="2F64614B" w14:textId="77777777" w:rsidTr="008070D3">
        <w:tc>
          <w:tcPr>
            <w:tcW w:w="5665" w:type="dxa"/>
          </w:tcPr>
          <w:p w14:paraId="5BF3B534" w14:textId="4DEEFFEB" w:rsidR="00811E9E" w:rsidRPr="008A0A97" w:rsidRDefault="00811E9E" w:rsidP="00CB586A">
            <w:pPr>
              <w:spacing w:before="120" w:after="120" w:line="240" w:lineRule="auto"/>
              <w:rPr>
                <w:rFonts w:eastAsia="Calibri" w:cs="Segoe UI"/>
              </w:rPr>
            </w:pPr>
            <w:r w:rsidRPr="008A0A97">
              <w:rPr>
                <w:rFonts w:eastAsia="Calibri" w:cs="Segoe UI"/>
                <w:lang w:bidi="sv-FI"/>
              </w:rPr>
              <w:t>Recept</w:t>
            </w:r>
          </w:p>
        </w:tc>
        <w:tc>
          <w:tcPr>
            <w:tcW w:w="4111" w:type="dxa"/>
          </w:tcPr>
          <w:p w14:paraId="2F7B7C82" w14:textId="1B849D75" w:rsidR="00811E9E" w:rsidRPr="008A0A97" w:rsidRDefault="00363F63" w:rsidP="00CB586A">
            <w:pPr>
              <w:spacing w:before="120" w:after="120" w:line="240" w:lineRule="auto"/>
              <w:rPr>
                <w:rFonts w:eastAsia="Calibri" w:cs="Segoe UI"/>
                <w:highlight w:val="yellow"/>
              </w:rPr>
            </w:pPr>
            <w:r w:rsidRPr="008A0A97">
              <w:rPr>
                <w:lang w:bidi="sv-FI"/>
              </w:rPr>
              <w:t>Varaktig förvaring</w:t>
            </w:r>
          </w:p>
        </w:tc>
      </w:tr>
      <w:tr w:rsidR="008A0A97" w:rsidRPr="008A0A97" w14:paraId="05E0598B" w14:textId="77777777" w:rsidTr="008070D3">
        <w:tc>
          <w:tcPr>
            <w:tcW w:w="5665" w:type="dxa"/>
          </w:tcPr>
          <w:p w14:paraId="38F53A76" w14:textId="680C1A00" w:rsidR="00811E9E" w:rsidRPr="008A0A97" w:rsidRDefault="00811E9E" w:rsidP="00CB586A">
            <w:pPr>
              <w:spacing w:before="120" w:after="120" w:line="240" w:lineRule="auto"/>
              <w:rPr>
                <w:rFonts w:eastAsia="Calibri" w:cs="Segoe UI"/>
              </w:rPr>
            </w:pPr>
            <w:r w:rsidRPr="008A0A97">
              <w:rPr>
                <w:rFonts w:eastAsia="Calibri" w:cs="Segoe UI"/>
                <w:lang w:bidi="sv-FI"/>
              </w:rPr>
              <w:t>Obduktionsprotokoll och -utlåtanden som gäller utredande av den medicinska dödsorsaken.</w:t>
            </w:r>
          </w:p>
        </w:tc>
        <w:tc>
          <w:tcPr>
            <w:tcW w:w="4111" w:type="dxa"/>
          </w:tcPr>
          <w:p w14:paraId="32D08DE5" w14:textId="4999492D" w:rsidR="00811E9E" w:rsidRPr="008A0A97" w:rsidRDefault="00363F63" w:rsidP="00CB586A">
            <w:pPr>
              <w:spacing w:before="120" w:after="120" w:line="240" w:lineRule="auto"/>
              <w:rPr>
                <w:rFonts w:eastAsia="Calibri" w:cs="Segoe UI"/>
                <w:highlight w:val="yellow"/>
              </w:rPr>
            </w:pPr>
            <w:r w:rsidRPr="008A0A97">
              <w:rPr>
                <w:lang w:bidi="sv-FI"/>
              </w:rPr>
              <w:t>Varaktig förvaring</w:t>
            </w:r>
          </w:p>
        </w:tc>
      </w:tr>
      <w:tr w:rsidR="008A0A97" w:rsidRPr="008A0A97" w14:paraId="4A48E2E9" w14:textId="77777777" w:rsidTr="008070D3">
        <w:tc>
          <w:tcPr>
            <w:tcW w:w="5665" w:type="dxa"/>
          </w:tcPr>
          <w:p w14:paraId="5D7D5868" w14:textId="67396FC3" w:rsidR="008E6A22" w:rsidRPr="008A0A97" w:rsidRDefault="008E6A22" w:rsidP="008E6A22">
            <w:pPr>
              <w:spacing w:before="120" w:after="120" w:line="240" w:lineRule="auto"/>
              <w:rPr>
                <w:rFonts w:eastAsia="Calibri" w:cs="Segoe UI"/>
              </w:rPr>
            </w:pPr>
            <w:r w:rsidRPr="008A0A97">
              <w:rPr>
                <w:rFonts w:eastAsia="Calibri" w:cs="Segoe UI"/>
                <w:lang w:bidi="sv-FI"/>
              </w:rPr>
              <w:t xml:space="preserve">Röntgenbilder, magnetresonansbilder, isotopbilder, ultraljudsbilder och liknande upptagningar av </w:t>
            </w:r>
            <w:r w:rsidRPr="008A0A97">
              <w:rPr>
                <w:rFonts w:eastAsia="Calibri" w:cs="Segoe UI"/>
                <w:lang w:bidi="sv-FI"/>
              </w:rPr>
              <w:lastRenderedPageBreak/>
              <w:t>bilddiagnostiska undersökningar, bilder i synligt ljus, diabilder och andra bild-, video- och ljudupptagningar</w:t>
            </w:r>
          </w:p>
        </w:tc>
        <w:tc>
          <w:tcPr>
            <w:tcW w:w="4111" w:type="dxa"/>
          </w:tcPr>
          <w:p w14:paraId="2CB581FF" w14:textId="78866AF6" w:rsidR="008E6A22" w:rsidRPr="008A0A97" w:rsidRDefault="00363F63" w:rsidP="00CB586A">
            <w:pPr>
              <w:spacing w:before="120" w:after="120" w:line="240" w:lineRule="auto"/>
            </w:pPr>
            <w:r w:rsidRPr="008A0A97">
              <w:rPr>
                <w:lang w:bidi="sv-FI"/>
              </w:rPr>
              <w:lastRenderedPageBreak/>
              <w:t>Varaktig förvaring</w:t>
            </w:r>
          </w:p>
        </w:tc>
      </w:tr>
      <w:tr w:rsidR="008A0A97" w:rsidRPr="008A0A97" w14:paraId="18D23768" w14:textId="77777777" w:rsidTr="008070D3">
        <w:tc>
          <w:tcPr>
            <w:tcW w:w="5665" w:type="dxa"/>
          </w:tcPr>
          <w:p w14:paraId="59CF6992" w14:textId="4BBFDE6F" w:rsidR="008E6A22" w:rsidRPr="008A0A97" w:rsidRDefault="002D3D92" w:rsidP="008E6A22">
            <w:pPr>
              <w:spacing w:before="120" w:after="120" w:line="240" w:lineRule="auto"/>
              <w:rPr>
                <w:rFonts w:eastAsia="Calibri" w:cs="Segoe UI"/>
              </w:rPr>
            </w:pPr>
            <w:r w:rsidRPr="008A0A97">
              <w:rPr>
                <w:rFonts w:eastAsia="Calibri" w:cs="Segoe UI"/>
                <w:lang w:bidi="sv-FI"/>
              </w:rPr>
              <w:t>Anteckningar för uträttande av recept, anteckningar om genomförande av läkemedelsbehandling och andra anteckningar som rör recept</w:t>
            </w:r>
          </w:p>
        </w:tc>
        <w:tc>
          <w:tcPr>
            <w:tcW w:w="4111" w:type="dxa"/>
          </w:tcPr>
          <w:p w14:paraId="0511D983" w14:textId="1AC51DBF" w:rsidR="008E6A22" w:rsidRPr="008A0A97" w:rsidRDefault="00363F63" w:rsidP="008E6A22">
            <w:pPr>
              <w:spacing w:before="120" w:after="120" w:line="240" w:lineRule="auto"/>
              <w:rPr>
                <w:rFonts w:eastAsia="Calibri" w:cs="Segoe UI"/>
              </w:rPr>
            </w:pPr>
            <w:r w:rsidRPr="008A0A97">
              <w:rPr>
                <w:lang w:bidi="sv-FI"/>
              </w:rPr>
              <w:t>Förvaring under bestämd tid</w:t>
            </w:r>
          </w:p>
        </w:tc>
      </w:tr>
      <w:tr w:rsidR="008A0A97" w:rsidRPr="008A0A97" w14:paraId="46381A06" w14:textId="77777777" w:rsidTr="008070D3">
        <w:tc>
          <w:tcPr>
            <w:tcW w:w="5665" w:type="dxa"/>
          </w:tcPr>
          <w:p w14:paraId="53A448D4" w14:textId="1F949954" w:rsidR="008E6A22" w:rsidRPr="008A0A97" w:rsidRDefault="008E6A22" w:rsidP="008E6A22">
            <w:pPr>
              <w:spacing w:before="120" w:after="120" w:line="240" w:lineRule="auto"/>
              <w:rPr>
                <w:rFonts w:eastAsia="Calibri" w:cs="Segoe UI"/>
              </w:rPr>
            </w:pPr>
            <w:r w:rsidRPr="008A0A97">
              <w:rPr>
                <w:rFonts w:eastAsia="Calibri" w:cs="Segoe UI"/>
                <w:lang w:bidi="sv-FI"/>
              </w:rPr>
              <w:t>Undersöknings- och beräkningsmaterial, datainsamlingsformulär</w:t>
            </w:r>
          </w:p>
        </w:tc>
        <w:tc>
          <w:tcPr>
            <w:tcW w:w="4111" w:type="dxa"/>
          </w:tcPr>
          <w:p w14:paraId="608AC1C2" w14:textId="1712DE90" w:rsidR="008E6A22" w:rsidRPr="008A0A97" w:rsidRDefault="00363F63" w:rsidP="008E6A22">
            <w:pPr>
              <w:spacing w:before="120" w:after="120" w:line="240" w:lineRule="auto"/>
              <w:rPr>
                <w:rFonts w:eastAsia="Calibri" w:cs="Segoe UI"/>
              </w:rPr>
            </w:pPr>
            <w:r w:rsidRPr="008A0A97">
              <w:rPr>
                <w:lang w:bidi="sv-FI"/>
              </w:rPr>
              <w:t>Förvaring under bestämd tid</w:t>
            </w:r>
          </w:p>
        </w:tc>
      </w:tr>
      <w:tr w:rsidR="008A0A97" w:rsidRPr="008A0A97" w14:paraId="55C98F66" w14:textId="77777777" w:rsidTr="008070D3">
        <w:tc>
          <w:tcPr>
            <w:tcW w:w="5665" w:type="dxa"/>
          </w:tcPr>
          <w:p w14:paraId="714B3D41" w14:textId="64F5A08D" w:rsidR="008E6A22" w:rsidRPr="008A0A97" w:rsidRDefault="008E6A22" w:rsidP="008E6A22">
            <w:pPr>
              <w:spacing w:before="120" w:after="120" w:line="240" w:lineRule="auto"/>
              <w:rPr>
                <w:rFonts w:eastAsia="Calibri" w:cs="Segoe UI"/>
              </w:rPr>
            </w:pPr>
            <w:r w:rsidRPr="008A0A97">
              <w:rPr>
                <w:rFonts w:eastAsia="Calibri" w:cs="Segoe UI"/>
                <w:lang w:bidi="sv-FI"/>
              </w:rPr>
              <w:t>Uppföljningsinformation som patienten tagit fram och andra handlingar som rör vården</w:t>
            </w:r>
          </w:p>
        </w:tc>
        <w:tc>
          <w:tcPr>
            <w:tcW w:w="4111" w:type="dxa"/>
          </w:tcPr>
          <w:p w14:paraId="6E79E816" w14:textId="49F0FA4D" w:rsidR="008E6A22" w:rsidRPr="008A0A97" w:rsidRDefault="00363F63" w:rsidP="008E6A22">
            <w:pPr>
              <w:spacing w:before="120" w:after="120" w:line="240" w:lineRule="auto"/>
              <w:rPr>
                <w:rFonts w:eastAsia="Calibri" w:cs="Segoe UI"/>
              </w:rPr>
            </w:pPr>
            <w:r w:rsidRPr="008A0A97">
              <w:rPr>
                <w:lang w:bidi="sv-FI"/>
              </w:rPr>
              <w:t>Förvaring under bestämd tid</w:t>
            </w:r>
          </w:p>
        </w:tc>
      </w:tr>
      <w:tr w:rsidR="008A0A97" w:rsidRPr="008A0A97" w14:paraId="174C8D7E" w14:textId="77777777" w:rsidTr="008070D3">
        <w:tc>
          <w:tcPr>
            <w:tcW w:w="5665" w:type="dxa"/>
          </w:tcPr>
          <w:p w14:paraId="308F1C30" w14:textId="5E80AABA" w:rsidR="008E6A22" w:rsidRPr="008A0A97" w:rsidRDefault="008E6A22" w:rsidP="008E6A22">
            <w:pPr>
              <w:spacing w:before="120" w:after="120" w:line="240" w:lineRule="auto"/>
              <w:rPr>
                <w:rFonts w:eastAsia="Calibri" w:cs="Segoe UI"/>
              </w:rPr>
            </w:pPr>
            <w:r w:rsidRPr="008A0A97">
              <w:rPr>
                <w:rFonts w:eastAsia="Calibri" w:cs="Segoe UI"/>
                <w:lang w:bidi="sv-FI"/>
              </w:rPr>
              <w:t>Separata remisshandlingar för patienter som inte har anlänt (för vilka inget vårdansvar har uppstått)</w:t>
            </w:r>
          </w:p>
        </w:tc>
        <w:tc>
          <w:tcPr>
            <w:tcW w:w="4111" w:type="dxa"/>
          </w:tcPr>
          <w:p w14:paraId="7D3938FF" w14:textId="3CBF3A75" w:rsidR="008E6A22" w:rsidRPr="008A0A97" w:rsidRDefault="00363F63" w:rsidP="008E6A22">
            <w:pPr>
              <w:spacing w:before="120" w:after="120" w:line="240" w:lineRule="auto"/>
              <w:rPr>
                <w:rFonts w:eastAsia="Calibri" w:cs="Segoe UI"/>
              </w:rPr>
            </w:pPr>
            <w:r w:rsidRPr="008A0A97">
              <w:rPr>
                <w:lang w:bidi="sv-FI"/>
              </w:rPr>
              <w:t>Förvaring under bestämd tid</w:t>
            </w:r>
          </w:p>
        </w:tc>
      </w:tr>
      <w:tr w:rsidR="008A0A97" w:rsidRPr="008A0A97" w14:paraId="1C61C40B" w14:textId="77777777" w:rsidTr="008070D3">
        <w:tc>
          <w:tcPr>
            <w:tcW w:w="5665" w:type="dxa"/>
          </w:tcPr>
          <w:p w14:paraId="6EDCE22D" w14:textId="044E9205" w:rsidR="008E6A22" w:rsidRPr="008A0A97" w:rsidRDefault="008E6A22" w:rsidP="008E6A22">
            <w:pPr>
              <w:spacing w:before="120" w:after="120" w:line="240" w:lineRule="auto"/>
              <w:rPr>
                <w:rFonts w:eastAsia="Calibri" w:cs="Segoe UI"/>
              </w:rPr>
            </w:pPr>
            <w:r w:rsidRPr="008A0A97">
              <w:rPr>
                <w:rFonts w:eastAsia="Calibri" w:cs="Segoe UI"/>
                <w:lang w:bidi="sv-FI"/>
              </w:rPr>
              <w:t>Tidsbokningshandlingar, tids- och vårdbokningsdagböcker, utskrivnings-, polikliniks-, avdelningsvårds- och åtgärdsdagböcker och liknande</w:t>
            </w:r>
          </w:p>
        </w:tc>
        <w:tc>
          <w:tcPr>
            <w:tcW w:w="4111" w:type="dxa"/>
          </w:tcPr>
          <w:p w14:paraId="2ADDDC86" w14:textId="0F327638" w:rsidR="008E6A22" w:rsidRPr="008A0A97" w:rsidRDefault="00363F63" w:rsidP="008E6A22">
            <w:pPr>
              <w:spacing w:before="120" w:after="120" w:line="240" w:lineRule="auto"/>
              <w:rPr>
                <w:rFonts w:eastAsia="Calibri" w:cs="Segoe UI"/>
              </w:rPr>
            </w:pPr>
            <w:r w:rsidRPr="008A0A97">
              <w:rPr>
                <w:lang w:bidi="sv-FI"/>
              </w:rPr>
              <w:t>Förvaring under bestämd tid</w:t>
            </w:r>
          </w:p>
        </w:tc>
      </w:tr>
      <w:tr w:rsidR="008A0A97" w:rsidRPr="008A0A97" w14:paraId="50FF6B71" w14:textId="77777777" w:rsidTr="008070D3">
        <w:tc>
          <w:tcPr>
            <w:tcW w:w="5665" w:type="dxa"/>
          </w:tcPr>
          <w:p w14:paraId="6DAA98C9" w14:textId="376D64D9" w:rsidR="008E6A22" w:rsidRPr="008A0A97" w:rsidRDefault="008E6A22" w:rsidP="008E6A22">
            <w:pPr>
              <w:spacing w:before="120" w:after="120" w:line="240" w:lineRule="auto"/>
              <w:rPr>
                <w:rFonts w:eastAsia="Calibri" w:cs="Segoe UI"/>
              </w:rPr>
            </w:pPr>
            <w:r w:rsidRPr="008A0A97">
              <w:rPr>
                <w:rFonts w:eastAsia="Calibri" w:cs="Segoe UI"/>
                <w:lang w:bidi="sv-FI"/>
              </w:rPr>
              <w:t>Donationsvilja, livstestamente, testamente för att överlåta sin kropp till forskning och andra uttryck för patientens önskemål</w:t>
            </w:r>
          </w:p>
        </w:tc>
        <w:tc>
          <w:tcPr>
            <w:tcW w:w="4111" w:type="dxa"/>
          </w:tcPr>
          <w:p w14:paraId="3B2EB56A" w14:textId="1DEE0269" w:rsidR="00382575" w:rsidRPr="008A0A97" w:rsidRDefault="00382575" w:rsidP="008E6A22">
            <w:pPr>
              <w:spacing w:before="120" w:after="120" w:line="240" w:lineRule="auto"/>
            </w:pPr>
            <w:r w:rsidRPr="008A0A97">
              <w:rPr>
                <w:lang w:bidi="sv-FI"/>
              </w:rPr>
              <w:t xml:space="preserve">Donationsviljor och livstestamenten ska förvaras varaktigt. Andra uttryck för patientens önskemål förvaras under en bestämd tid. </w:t>
            </w:r>
          </w:p>
          <w:p w14:paraId="44B4391A" w14:textId="0594DEA9" w:rsidR="008E6A22" w:rsidRPr="008A0A97" w:rsidRDefault="00382575" w:rsidP="008E6A22">
            <w:pPr>
              <w:spacing w:before="120" w:after="120" w:line="240" w:lineRule="auto"/>
              <w:rPr>
                <w:rFonts w:eastAsia="Calibri" w:cs="Segoe UI"/>
              </w:rPr>
            </w:pPr>
            <w:r w:rsidRPr="008A0A97">
              <w:rPr>
                <w:lang w:bidi="sv-FI"/>
              </w:rPr>
              <w:t>Varaktig förvaring av testamenten för att överlåta sin kropp till forskning avgörs inte i det här sammanhanget.</w:t>
            </w:r>
          </w:p>
        </w:tc>
      </w:tr>
      <w:tr w:rsidR="008A0A97" w:rsidRPr="008A0A97" w14:paraId="3D01912D" w14:textId="77777777" w:rsidTr="008070D3">
        <w:tc>
          <w:tcPr>
            <w:tcW w:w="5665" w:type="dxa"/>
          </w:tcPr>
          <w:p w14:paraId="71C9B573" w14:textId="615A8C05" w:rsidR="008E6A22" w:rsidRPr="008A0A97" w:rsidRDefault="008E6A22" w:rsidP="008E6A22">
            <w:pPr>
              <w:spacing w:before="120" w:after="120" w:line="240" w:lineRule="auto"/>
              <w:rPr>
                <w:rFonts w:eastAsia="Calibri" w:cs="Segoe UI"/>
              </w:rPr>
            </w:pPr>
            <w:r w:rsidRPr="008A0A97">
              <w:rPr>
                <w:rFonts w:eastAsia="Calibri" w:cs="Segoe UI"/>
                <w:lang w:bidi="sv-FI"/>
              </w:rPr>
              <w:t>Patientspecifik korrespondens/kommunikation som handlar om vård</w:t>
            </w:r>
          </w:p>
        </w:tc>
        <w:tc>
          <w:tcPr>
            <w:tcW w:w="4111" w:type="dxa"/>
          </w:tcPr>
          <w:p w14:paraId="6242F017" w14:textId="4EDF353C" w:rsidR="008E6A22" w:rsidRPr="008A0A97" w:rsidRDefault="00363F63" w:rsidP="008E6A22">
            <w:pPr>
              <w:spacing w:before="120" w:after="120" w:line="240" w:lineRule="auto"/>
              <w:rPr>
                <w:rFonts w:eastAsia="Calibri" w:cs="Segoe UI"/>
              </w:rPr>
            </w:pPr>
            <w:r w:rsidRPr="008A0A97">
              <w:rPr>
                <w:lang w:bidi="sv-FI"/>
              </w:rPr>
              <w:t>Förvaring under bestämd tid</w:t>
            </w:r>
          </w:p>
        </w:tc>
      </w:tr>
      <w:tr w:rsidR="008A0A97" w:rsidRPr="008A0A97" w14:paraId="00E9715B" w14:textId="77777777" w:rsidTr="008070D3">
        <w:tc>
          <w:tcPr>
            <w:tcW w:w="5665" w:type="dxa"/>
          </w:tcPr>
          <w:p w14:paraId="002B37A1" w14:textId="72CD6849" w:rsidR="008E6A22" w:rsidRPr="008A0A97" w:rsidRDefault="008E6A22" w:rsidP="008E6A22">
            <w:pPr>
              <w:spacing w:before="120" w:after="120" w:line="240" w:lineRule="auto"/>
              <w:rPr>
                <w:rFonts w:eastAsia="Calibri" w:cs="Segoe UI"/>
              </w:rPr>
            </w:pPr>
            <w:r w:rsidRPr="008A0A97">
              <w:rPr>
                <w:rFonts w:eastAsia="Calibri" w:cs="Segoe UI"/>
                <w:lang w:bidi="sv-FI"/>
              </w:rPr>
              <w:t>Kopior av läkarutlåtanden och -intyg som tagits fram för andra organ</w:t>
            </w:r>
          </w:p>
        </w:tc>
        <w:tc>
          <w:tcPr>
            <w:tcW w:w="4111" w:type="dxa"/>
          </w:tcPr>
          <w:p w14:paraId="1501CB85" w14:textId="640A1663" w:rsidR="008E6A22" w:rsidRPr="008A0A97" w:rsidRDefault="00363F63" w:rsidP="008E6A22">
            <w:pPr>
              <w:spacing w:before="120" w:after="120" w:line="240" w:lineRule="auto"/>
              <w:rPr>
                <w:rFonts w:eastAsia="Calibri" w:cs="Segoe UI"/>
              </w:rPr>
            </w:pPr>
            <w:r w:rsidRPr="008A0A97">
              <w:rPr>
                <w:lang w:bidi="sv-FI"/>
              </w:rPr>
              <w:t>Förvaring under bestämd tid</w:t>
            </w:r>
          </w:p>
        </w:tc>
      </w:tr>
      <w:tr w:rsidR="008A0A97" w:rsidRPr="008A0A97" w14:paraId="6BCAD069" w14:textId="77777777" w:rsidTr="008070D3">
        <w:tc>
          <w:tcPr>
            <w:tcW w:w="5665" w:type="dxa"/>
          </w:tcPr>
          <w:p w14:paraId="16AE6F35" w14:textId="7209BAC4" w:rsidR="008E6A22" w:rsidRPr="008A0A97" w:rsidRDefault="008E6A22" w:rsidP="008E6A22">
            <w:pPr>
              <w:spacing w:before="120" w:after="120" w:line="240" w:lineRule="auto"/>
              <w:rPr>
                <w:rFonts w:eastAsia="Calibri" w:cs="Segoe UI"/>
              </w:rPr>
            </w:pPr>
            <w:r w:rsidRPr="008A0A97">
              <w:rPr>
                <w:rFonts w:eastAsia="Calibri" w:cs="Segoe UI"/>
                <w:lang w:bidi="sv-FI"/>
              </w:rPr>
              <w:t>Kopior av journalhandlingar från andra tillhandahållare av hälso- och sjukvårdstjänster</w:t>
            </w:r>
          </w:p>
        </w:tc>
        <w:tc>
          <w:tcPr>
            <w:tcW w:w="4111" w:type="dxa"/>
          </w:tcPr>
          <w:p w14:paraId="3CED044D" w14:textId="7A4ED322" w:rsidR="008E6A22" w:rsidRPr="008A0A97" w:rsidRDefault="00363F63" w:rsidP="008E6A22">
            <w:pPr>
              <w:spacing w:before="120" w:after="120" w:line="240" w:lineRule="auto"/>
              <w:rPr>
                <w:rFonts w:eastAsia="Calibri" w:cs="Segoe UI"/>
              </w:rPr>
            </w:pPr>
            <w:r w:rsidRPr="008A0A97">
              <w:rPr>
                <w:lang w:bidi="sv-FI"/>
              </w:rPr>
              <w:t>Förvaring under bestämd tid</w:t>
            </w:r>
          </w:p>
        </w:tc>
      </w:tr>
      <w:tr w:rsidR="00193A67" w:rsidRPr="008A0A97" w14:paraId="23384052" w14:textId="77777777" w:rsidTr="008070D3">
        <w:tc>
          <w:tcPr>
            <w:tcW w:w="5665" w:type="dxa"/>
          </w:tcPr>
          <w:p w14:paraId="49D974FF" w14:textId="08F4E63B" w:rsidR="008E6A22" w:rsidRPr="008A0A97" w:rsidRDefault="008E6A22" w:rsidP="008E6A22">
            <w:pPr>
              <w:spacing w:before="120" w:after="120" w:line="240" w:lineRule="auto"/>
              <w:rPr>
                <w:rFonts w:eastAsia="Calibri" w:cs="Segoe UI"/>
              </w:rPr>
            </w:pPr>
            <w:bookmarkStart w:id="2" w:name="_Hlk190172335"/>
            <w:r w:rsidRPr="008A0A97">
              <w:rPr>
                <w:lang w:bidi="sv-FI"/>
              </w:rPr>
              <w:t>Mikrofilmade journalhandlingar</w:t>
            </w:r>
          </w:p>
        </w:tc>
        <w:tc>
          <w:tcPr>
            <w:tcW w:w="4111" w:type="dxa"/>
          </w:tcPr>
          <w:p w14:paraId="366A3321" w14:textId="66739536" w:rsidR="008E6A22" w:rsidRPr="008A0A97" w:rsidRDefault="008E6A22" w:rsidP="008E6A22">
            <w:pPr>
              <w:spacing w:before="120" w:after="120" w:line="240" w:lineRule="auto"/>
            </w:pPr>
            <w:r w:rsidRPr="008A0A97">
              <w:rPr>
                <w:lang w:bidi="sv-FI"/>
              </w:rPr>
              <w:t xml:space="preserve">Mikrofilmade uppsättningar av journalhandlingar som är relevanta för forskning ska förvaras varaktigt. Andra mikrofilmade uppsättningar av </w:t>
            </w:r>
            <w:r w:rsidRPr="008A0A97">
              <w:rPr>
                <w:lang w:bidi="sv-FI"/>
              </w:rPr>
              <w:lastRenderedPageBreak/>
              <w:t xml:space="preserve">journalhandlingar förvaras under en bestämd tid. </w:t>
            </w:r>
          </w:p>
        </w:tc>
      </w:tr>
    </w:tbl>
    <w:p w14:paraId="7554995F" w14:textId="77777777" w:rsidR="006F0BD3" w:rsidRDefault="006F0BD3" w:rsidP="00506BF0">
      <w:bookmarkStart w:id="3" w:name="_Hlk188357307"/>
      <w:bookmarkEnd w:id="2"/>
    </w:p>
    <w:p w14:paraId="548422CE" w14:textId="77777777" w:rsidR="00193A67" w:rsidRDefault="00193A67" w:rsidP="00506BF0"/>
    <w:p w14:paraId="3F5F1AF1" w14:textId="77777777" w:rsidR="00193A67" w:rsidRPr="008A0A97" w:rsidRDefault="00193A67" w:rsidP="00506BF0"/>
    <w:p w14:paraId="311DC8B2" w14:textId="09BE1B3B" w:rsidR="006F0BD3" w:rsidRPr="008A0A97" w:rsidRDefault="006F0BD3" w:rsidP="00874D96">
      <w:pPr>
        <w:spacing w:line="240" w:lineRule="auto"/>
        <w:rPr>
          <w:sz w:val="26"/>
          <w:szCs w:val="26"/>
        </w:rPr>
      </w:pPr>
      <w:r w:rsidRPr="008A0A97">
        <w:rPr>
          <w:sz w:val="26"/>
          <w:szCs w:val="26"/>
          <w:lang w:bidi="sv-FI"/>
        </w:rPr>
        <w:t>Tillämpning av beslutet</w:t>
      </w:r>
    </w:p>
    <w:p w14:paraId="341A72EE" w14:textId="401AA616" w:rsidR="00212C4D" w:rsidRPr="008A0A97" w:rsidRDefault="00212C4D" w:rsidP="00874D96">
      <w:pPr>
        <w:spacing w:before="120" w:after="120" w:line="240" w:lineRule="auto"/>
      </w:pPr>
      <w:r w:rsidRPr="008A0A97">
        <w:rPr>
          <w:lang w:bidi="sv-FI"/>
        </w:rPr>
        <w:t>Undantag från bestämmelserna i tabell 1:</w:t>
      </w:r>
    </w:p>
    <w:p w14:paraId="237CFABF" w14:textId="3A0DDD8D" w:rsidR="00570AED" w:rsidRPr="008A0A97" w:rsidRDefault="00570AED" w:rsidP="00874D96">
      <w:pPr>
        <w:pStyle w:val="Luettelokappale"/>
        <w:numPr>
          <w:ilvl w:val="0"/>
          <w:numId w:val="26"/>
        </w:numPr>
        <w:spacing w:before="120" w:after="120" w:line="240" w:lineRule="auto"/>
      </w:pPr>
      <w:r w:rsidRPr="008A0A97">
        <w:rPr>
          <w:lang w:bidi="sv-FI"/>
        </w:rPr>
        <w:t xml:space="preserve">Riksarkivets beslut gäller inte genetiska uppgifter. </w:t>
      </w:r>
    </w:p>
    <w:p w14:paraId="0E0C0388" w14:textId="5AA7159F" w:rsidR="00212C4D" w:rsidRPr="008A0A97" w:rsidRDefault="001F6004" w:rsidP="00874D96">
      <w:pPr>
        <w:pStyle w:val="Luettelokappale"/>
        <w:numPr>
          <w:ilvl w:val="0"/>
          <w:numId w:val="26"/>
        </w:numPr>
        <w:spacing w:before="120" w:after="120" w:line="240" w:lineRule="auto"/>
        <w:rPr>
          <w:rFonts w:eastAsia="Calibri" w:cs="Segoe UI"/>
        </w:rPr>
      </w:pPr>
      <w:r w:rsidRPr="008A0A97">
        <w:rPr>
          <w:lang w:bidi="sv-FI"/>
        </w:rPr>
        <w:t xml:space="preserve">Så kallade gamla patientuppgifter som ska lagras i det riksomfattande kundinformationslagret (nedan </w:t>
      </w:r>
      <w:r w:rsidR="00212C4D" w:rsidRPr="008A0A97">
        <w:rPr>
          <w:rFonts w:eastAsia="Calibri" w:cs="Segoe UI"/>
          <w:lang w:bidi="sv-FI"/>
        </w:rPr>
        <w:t xml:space="preserve">Kanta-tjänsterna) kan vid behov i större utsträckning förvaras varaktigt, om det inte är möjligt att skilja uppgifter som ska förvaras under en bestämd tid från patientuppgifter som ska förvaras </w:t>
      </w:r>
      <w:proofErr w:type="gramStart"/>
      <w:r w:rsidR="00212C4D" w:rsidRPr="008A0A97">
        <w:rPr>
          <w:rFonts w:eastAsia="Calibri" w:cs="Segoe UI"/>
          <w:lang w:bidi="sv-FI"/>
        </w:rPr>
        <w:t>varaktigt.</w:t>
      </w:r>
      <w:r w:rsidRPr="008A0A97">
        <w:rPr>
          <w:lang w:bidi="sv-FI"/>
        </w:rPr>
        <w:t>.</w:t>
      </w:r>
      <w:proofErr w:type="gramEnd"/>
    </w:p>
    <w:bookmarkEnd w:id="3"/>
    <w:p w14:paraId="65125A5B" w14:textId="2B4CA405" w:rsidR="009A75EE" w:rsidRPr="008A0A97" w:rsidRDefault="007E1F19">
      <w:pPr>
        <w:spacing w:line="240" w:lineRule="auto"/>
      </w:pPr>
      <w:r w:rsidRPr="008A0A97">
        <w:rPr>
          <w:lang w:bidi="sv-FI"/>
        </w:rPr>
        <w:t xml:space="preserve">Beslutet gäller digitala och mikrofilmade journalhandlingar för så lång tid som uppgifterna har genererats. </w:t>
      </w:r>
    </w:p>
    <w:p w14:paraId="673F2AC8" w14:textId="2BD5B860" w:rsidR="009A75EE" w:rsidRPr="008A0A97" w:rsidRDefault="009A75EE">
      <w:pPr>
        <w:spacing w:line="240" w:lineRule="auto"/>
      </w:pPr>
      <w:bookmarkStart w:id="4" w:name="_Hlk196728857"/>
      <w:r w:rsidRPr="008A0A97">
        <w:rPr>
          <w:lang w:bidi="sv-FI"/>
        </w:rPr>
        <w:t>Beslutet tillämpas på alla journalhandlingar som genererats och kommer att genereras från och med den 1 januari 2022. Efter det gäller beslutet även alla journalhandlingar i analogt format. För journalhandlingar som genererats före den 1 januari 2022 (exklusive mikrofilmade journalhandlingar) gäller de gallringsbeslut som getts tidigare. De viktigaste gallringsbesluten som har getts tidigare finns förtecknade i motiveringspromemorian.</w:t>
      </w:r>
    </w:p>
    <w:bookmarkEnd w:id="4"/>
    <w:p w14:paraId="54C75CA8" w14:textId="376EFD46" w:rsidR="0000471E" w:rsidRPr="008A0A97" w:rsidRDefault="0000471E" w:rsidP="00874D96">
      <w:pPr>
        <w:spacing w:line="240" w:lineRule="auto"/>
      </w:pPr>
      <w:r w:rsidRPr="008A0A97">
        <w:rPr>
          <w:lang w:bidi="sv-FI"/>
        </w:rPr>
        <w:t>Den senaste versionen av digitala journalhandlingar ska förvaras varaktigt om den versionen även innehåller informationsinnehållet i tidigare versioner. Om informationsinnehållet i tidigare versioner inte ingår i den senaste versionen, ska alla tidigare versioner av handlingen förvaras.</w:t>
      </w:r>
    </w:p>
    <w:p w14:paraId="7C050123" w14:textId="0CE3192A" w:rsidR="00D772C5" w:rsidRPr="008A0A97" w:rsidRDefault="00953529" w:rsidP="005F403B">
      <w:pPr>
        <w:spacing w:after="0" w:line="240" w:lineRule="auto"/>
        <w:rPr>
          <w:rFonts w:cs="Segoe UI"/>
        </w:rPr>
      </w:pPr>
      <w:r w:rsidRPr="008A0A97">
        <w:rPr>
          <w:rFonts w:cs="Segoe UI"/>
          <w:lang w:bidi="sv-FI"/>
        </w:rPr>
        <w:t>Registreringsuppgifter i ärenden som innehåller handlingar som ska förvaras varaktigt ska med stöd av riksarkivets beslut av den 20 december 2024 om varaktig förvaring av handlingar och informationsmaterial från ekonomiförvaltningen, förvaltningsärenden och informationshanteringen inom den offentliga förvaltningen (KA/2657/28.02.01/2024). De viktigaste registreringsuppgifterna i journalhandlingar som ska förvaras varaktigt är de grundläggande uppgifterna om patienten (patientens namn och personbeteckning eller, om personbeteckningen inte är känd, identifikationskod eller födelsedatum).</w:t>
      </w:r>
    </w:p>
    <w:p w14:paraId="2C5B9F30" w14:textId="77777777" w:rsidR="003A5E13" w:rsidRPr="008A0A97" w:rsidRDefault="003A5E13" w:rsidP="003A5E13">
      <w:pPr>
        <w:spacing w:after="0" w:line="240" w:lineRule="auto"/>
        <w:rPr>
          <w:rFonts w:cs="Segoe UI"/>
        </w:rPr>
      </w:pPr>
    </w:p>
    <w:p w14:paraId="6DC24A2D" w14:textId="20DE9205" w:rsidR="00100A79" w:rsidRPr="008A0A97" w:rsidRDefault="003A5E13" w:rsidP="00D32EE3">
      <w:pPr>
        <w:shd w:val="clear" w:color="auto" w:fill="FFFFFF" w:themeFill="background1"/>
        <w:spacing w:after="0" w:line="240" w:lineRule="auto"/>
      </w:pPr>
      <w:r w:rsidRPr="008A0A97">
        <w:rPr>
          <w:rFonts w:cs="Segoe UI"/>
          <w:lang w:bidi="sv-FI"/>
        </w:rPr>
        <w:t xml:space="preserve">Riksarkivet tar inte i det här beslutet ställning till var eller i vilken myndighets datasystem de journalhandlingar som ska förvaras varaktigt ska behandlas och förvaras. </w:t>
      </w:r>
      <w:r w:rsidR="00A4284D" w:rsidRPr="008A0A97">
        <w:rPr>
          <w:lang w:bidi="sv-FI"/>
        </w:rPr>
        <w:t xml:space="preserve">Patientuppgifter som har lagrats i Kanta-tjänsterna ska förvaras i organisationens egna system under en bestämd tid. </w:t>
      </w:r>
    </w:p>
    <w:p w14:paraId="5D0891B2" w14:textId="77777777" w:rsidR="002D42AB" w:rsidRPr="008A0A97" w:rsidRDefault="002D42AB" w:rsidP="00D32EE3">
      <w:pPr>
        <w:shd w:val="clear" w:color="auto" w:fill="FFFFFF" w:themeFill="background1"/>
        <w:spacing w:after="0" w:line="240" w:lineRule="auto"/>
      </w:pPr>
    </w:p>
    <w:p w14:paraId="7031FAC7" w14:textId="4B0B8B15" w:rsidR="002D42AB" w:rsidRPr="008A0A97" w:rsidRDefault="002D42AB" w:rsidP="00D32EE3">
      <w:pPr>
        <w:shd w:val="clear" w:color="auto" w:fill="FFFFFF" w:themeFill="background1"/>
        <w:spacing w:after="0" w:line="240" w:lineRule="auto"/>
        <w:rPr>
          <w:rFonts w:cs="Segoe UI"/>
        </w:rPr>
      </w:pPr>
      <w:r w:rsidRPr="008A0A97">
        <w:rPr>
          <w:rFonts w:cs="Segoe UI"/>
          <w:lang w:bidi="sv-FI"/>
        </w:rPr>
        <w:t>Metadata och tillhörande dokumentation för de handlingar som ska överföras till Riksarkivet definieras mer i detalj i samband med en eventuell överföring till Riksarkivet.</w:t>
      </w:r>
    </w:p>
    <w:p w14:paraId="2ED93906" w14:textId="77777777" w:rsidR="00100A79" w:rsidRPr="008A0A97" w:rsidRDefault="00100A79" w:rsidP="005F403B">
      <w:pPr>
        <w:spacing w:after="0" w:line="240" w:lineRule="auto"/>
        <w:rPr>
          <w:rFonts w:cs="Segoe UI"/>
        </w:rPr>
      </w:pPr>
    </w:p>
    <w:p w14:paraId="722FC311" w14:textId="5CC82192" w:rsidR="006F72A0" w:rsidRPr="008A0A97" w:rsidRDefault="006F72A0" w:rsidP="005F403B">
      <w:pPr>
        <w:spacing w:after="0" w:line="240" w:lineRule="auto"/>
        <w:rPr>
          <w:rFonts w:cs="Segoe UI"/>
        </w:rPr>
      </w:pPr>
      <w:r w:rsidRPr="008A0A97">
        <w:rPr>
          <w:rFonts w:cs="Segoe UI"/>
          <w:lang w:bidi="sv-FI"/>
        </w:rPr>
        <w:t xml:space="preserve">Vilka handlingar som eventuellt ska överföras till Riksarkivet definieras vid behov i samband med överföringen. Därför ska andra handlingar än de som ska överföras förvaras under en bestämd tid. </w:t>
      </w:r>
    </w:p>
    <w:p w14:paraId="0A6B14CF" w14:textId="77777777" w:rsidR="001E4E01" w:rsidRPr="008A0A97" w:rsidRDefault="001E4E01" w:rsidP="005F403B">
      <w:pPr>
        <w:spacing w:after="0" w:line="240" w:lineRule="auto"/>
        <w:rPr>
          <w:rFonts w:cs="Segoe UI"/>
        </w:rPr>
      </w:pPr>
    </w:p>
    <w:p w14:paraId="60D1F019" w14:textId="7FC59F02" w:rsidR="007E1F19" w:rsidRPr="008A0A97" w:rsidRDefault="006F72A0" w:rsidP="005F403B">
      <w:pPr>
        <w:spacing w:after="0" w:line="240" w:lineRule="auto"/>
        <w:rPr>
          <w:rFonts w:cs="Segoe UI"/>
        </w:rPr>
      </w:pPr>
      <w:r w:rsidRPr="008A0A97">
        <w:rPr>
          <w:rFonts w:cs="Segoe UI"/>
          <w:lang w:bidi="sv-FI"/>
        </w:rPr>
        <w:t>Handlingar som ska förvaras varaktigt ska arkiveras uteslutande i digitalt format i enlighet med Riksarkivets föreskrift av den 22 december 2021 om format för handlingar som ska arkiveras (KA/</w:t>
      </w:r>
      <w:proofErr w:type="gramStart"/>
      <w:r w:rsidRPr="008A0A97">
        <w:rPr>
          <w:rFonts w:cs="Segoe UI"/>
          <w:lang w:bidi="sv-FI"/>
        </w:rPr>
        <w:t>15906</w:t>
      </w:r>
      <w:proofErr w:type="gramEnd"/>
      <w:r w:rsidRPr="008A0A97">
        <w:rPr>
          <w:rFonts w:cs="Segoe UI"/>
          <w:lang w:bidi="sv-FI"/>
        </w:rPr>
        <w:t>/07.01.01.00/2021). På handlingar som ska förvaras varaktigt och som upprättats i analogt format före den 1 januari 2022 tillämpas dessutom Riksarkivets beslut av den 8 december 2023 om förvaringsformen för digitaliserade handlingar och handlingar från den offentliga förvaltningen som ska digitaliseras för varaktig förvaring och varaktig förvaring av värdeinformation av det kulturhistoriska värdet av den analoga lagringsformen (KA/</w:t>
      </w:r>
      <w:proofErr w:type="gramStart"/>
      <w:r w:rsidRPr="008A0A97">
        <w:rPr>
          <w:rFonts w:cs="Segoe UI"/>
          <w:lang w:bidi="sv-FI"/>
        </w:rPr>
        <w:t>15927</w:t>
      </w:r>
      <w:proofErr w:type="gramEnd"/>
      <w:r w:rsidRPr="008A0A97">
        <w:rPr>
          <w:rFonts w:cs="Segoe UI"/>
          <w:lang w:bidi="sv-FI"/>
        </w:rPr>
        <w:t>/28.02.01/2023).</w:t>
      </w:r>
    </w:p>
    <w:p w14:paraId="3F46430E" w14:textId="77777777" w:rsidR="006F72A0" w:rsidRPr="008A0A97" w:rsidRDefault="006F72A0" w:rsidP="005F403B">
      <w:pPr>
        <w:pStyle w:val="Luettelokappale"/>
        <w:numPr>
          <w:ilvl w:val="0"/>
          <w:numId w:val="0"/>
        </w:numPr>
        <w:spacing w:after="0" w:line="240" w:lineRule="auto"/>
        <w:rPr>
          <w:rFonts w:cs="Segoe UI"/>
          <w:iCs/>
        </w:rPr>
      </w:pPr>
    </w:p>
    <w:p w14:paraId="01847BB2" w14:textId="1743D36C" w:rsidR="00A01AD7" w:rsidRPr="008A0A97" w:rsidRDefault="006F72A0" w:rsidP="00A01AD7">
      <w:pPr>
        <w:pStyle w:val="Luettelokappale"/>
        <w:numPr>
          <w:ilvl w:val="0"/>
          <w:numId w:val="0"/>
        </w:numPr>
        <w:shd w:val="clear" w:color="auto" w:fill="FFFFFF" w:themeFill="background1"/>
        <w:spacing w:after="120" w:line="240" w:lineRule="auto"/>
        <w:contextualSpacing w:val="0"/>
        <w:rPr>
          <w:rFonts w:cs="Segoe UI"/>
          <w:iCs/>
        </w:rPr>
      </w:pPr>
      <w:r w:rsidRPr="008A0A97">
        <w:rPr>
          <w:rFonts w:cs="Segoe UI"/>
          <w:lang w:bidi="sv-FI"/>
        </w:rPr>
        <w:t xml:space="preserve">Riksarkivets beslut om varaktig förvaring av handlingar innebär att handlingar förvaras varaktigt i enbart digitalt format, om annat inte separat bestämts om förvaringsformatet. </w:t>
      </w:r>
    </w:p>
    <w:p w14:paraId="4315E687" w14:textId="77777777" w:rsidR="00AF0078" w:rsidRPr="008A0A97" w:rsidRDefault="00AF0078" w:rsidP="008070D3">
      <w:pPr>
        <w:pStyle w:val="Otsikko2"/>
        <w:spacing w:after="240" w:line="240" w:lineRule="auto"/>
        <w:rPr>
          <w:rFonts w:cs="Segoe UI"/>
          <w:b/>
          <w:bCs/>
          <w:sz w:val="22"/>
          <w:szCs w:val="22"/>
        </w:rPr>
      </w:pPr>
    </w:p>
    <w:p w14:paraId="3D1941ED" w14:textId="3258A960" w:rsidR="00A01AD7" w:rsidRPr="008A0A97" w:rsidRDefault="00A01AD7" w:rsidP="00F0511C">
      <w:pPr>
        <w:pStyle w:val="Otsikko2"/>
        <w:spacing w:after="240"/>
      </w:pPr>
      <w:r w:rsidRPr="008A0A97">
        <w:rPr>
          <w:lang w:bidi="sv-FI"/>
        </w:rPr>
        <w:t>Upphävande av tidigare beslut</w:t>
      </w:r>
    </w:p>
    <w:p w14:paraId="25D3DF00" w14:textId="31A4AE34" w:rsidR="00A01AD7" w:rsidRPr="008A0A97" w:rsidRDefault="00A01AD7" w:rsidP="00A01AD7">
      <w:pPr>
        <w:spacing w:before="120" w:after="240" w:line="240" w:lineRule="auto"/>
        <w:rPr>
          <w:rFonts w:cs="Segoe UI"/>
          <w:bCs/>
          <w:iCs/>
        </w:rPr>
      </w:pPr>
      <w:r w:rsidRPr="008A0A97">
        <w:rPr>
          <w:rFonts w:cs="Segoe UI"/>
          <w:lang w:bidi="sv-FI"/>
        </w:rPr>
        <w:t>Det här beslutet upphäver helt eller delvis de beslut om journalhandlingar inom den offentliga hälso- och sjukvården som anges i tabell 2 nedan.</w:t>
      </w:r>
    </w:p>
    <w:p w14:paraId="64EA2A2F" w14:textId="6DC601C8" w:rsidR="00E5011E" w:rsidRPr="00122738" w:rsidRDefault="00E5011E" w:rsidP="00874D96">
      <w:pPr>
        <w:pStyle w:val="Kuvaotsikko"/>
        <w:keepNext/>
        <w:rPr>
          <w:i w:val="0"/>
          <w:iCs w:val="0"/>
          <w:color w:val="auto"/>
        </w:rPr>
      </w:pPr>
      <w:r w:rsidRPr="00122738">
        <w:rPr>
          <w:i w:val="0"/>
          <w:color w:val="auto"/>
          <w:sz w:val="22"/>
          <w:szCs w:val="22"/>
          <w:lang w:bidi="sv-FI"/>
        </w:rPr>
        <w:t xml:space="preserve">Tabell </w:t>
      </w:r>
      <w:r w:rsidRPr="00122738">
        <w:rPr>
          <w:i w:val="0"/>
          <w:color w:val="auto"/>
          <w:sz w:val="22"/>
          <w:szCs w:val="22"/>
          <w:lang w:bidi="sv-FI"/>
        </w:rPr>
        <w:fldChar w:fldCharType="begin"/>
      </w:r>
      <w:r w:rsidRPr="00122738">
        <w:rPr>
          <w:i w:val="0"/>
          <w:color w:val="auto"/>
          <w:sz w:val="22"/>
          <w:szCs w:val="22"/>
          <w:lang w:bidi="sv-FI"/>
        </w:rPr>
        <w:instrText xml:space="preserve"> SEQ Taulukko \* ARABIC </w:instrText>
      </w:r>
      <w:r w:rsidRPr="00122738">
        <w:rPr>
          <w:i w:val="0"/>
          <w:color w:val="auto"/>
          <w:sz w:val="22"/>
          <w:szCs w:val="22"/>
          <w:lang w:bidi="sv-FI"/>
        </w:rPr>
        <w:fldChar w:fldCharType="separate"/>
      </w:r>
      <w:r w:rsidR="00912D9C">
        <w:rPr>
          <w:i w:val="0"/>
          <w:noProof/>
          <w:color w:val="auto"/>
          <w:sz w:val="22"/>
          <w:szCs w:val="22"/>
          <w:lang w:bidi="sv-FI"/>
        </w:rPr>
        <w:t>2</w:t>
      </w:r>
      <w:r w:rsidRPr="00122738">
        <w:rPr>
          <w:i w:val="0"/>
          <w:color w:val="auto"/>
          <w:sz w:val="22"/>
          <w:szCs w:val="22"/>
          <w:lang w:bidi="sv-FI"/>
        </w:rPr>
        <w:fldChar w:fldCharType="end"/>
      </w:r>
      <w:r w:rsidRPr="00122738">
        <w:rPr>
          <w:i w:val="0"/>
          <w:color w:val="auto"/>
          <w:sz w:val="22"/>
          <w:szCs w:val="22"/>
          <w:lang w:bidi="sv-FI"/>
        </w:rPr>
        <w:t>. Upphävande av gallringsbeslut om journalhandlingar inom den offentliga hälso- och sjukvården</w:t>
      </w:r>
    </w:p>
    <w:tbl>
      <w:tblPr>
        <w:tblStyle w:val="TaulukkoRuudukko"/>
        <w:tblW w:w="0" w:type="auto"/>
        <w:tblLook w:val="04A0" w:firstRow="1" w:lastRow="0" w:firstColumn="1" w:lastColumn="0" w:noHBand="0" w:noVBand="1"/>
      </w:tblPr>
      <w:tblGrid>
        <w:gridCol w:w="5097"/>
        <w:gridCol w:w="4537"/>
      </w:tblGrid>
      <w:tr w:rsidR="008A0A97" w:rsidRPr="008A0A97" w14:paraId="13F5223F" w14:textId="77777777" w:rsidTr="008070D3">
        <w:trPr>
          <w:trHeight w:val="445"/>
        </w:trPr>
        <w:tc>
          <w:tcPr>
            <w:tcW w:w="5097" w:type="dxa"/>
            <w:shd w:val="clear" w:color="auto" w:fill="D9D9D9" w:themeFill="background1" w:themeFillShade="D9"/>
          </w:tcPr>
          <w:p w14:paraId="0423BB5E" w14:textId="14517024" w:rsidR="00AC12CF" w:rsidRPr="008A0A97" w:rsidRDefault="00AC12CF" w:rsidP="00A01AD7">
            <w:pPr>
              <w:spacing w:before="120" w:after="240" w:line="240" w:lineRule="auto"/>
              <w:rPr>
                <w:rFonts w:cs="Segoe UI"/>
                <w:b/>
                <w:iCs/>
              </w:rPr>
            </w:pPr>
            <w:r w:rsidRPr="008A0A97">
              <w:rPr>
                <w:rFonts w:cs="Segoe UI"/>
                <w:b/>
                <w:lang w:bidi="sv-FI"/>
              </w:rPr>
              <w:t>Tidigare gallringsbeslut</w:t>
            </w:r>
          </w:p>
        </w:tc>
        <w:tc>
          <w:tcPr>
            <w:tcW w:w="4537" w:type="dxa"/>
            <w:shd w:val="clear" w:color="auto" w:fill="D9D9D9" w:themeFill="background1" w:themeFillShade="D9"/>
          </w:tcPr>
          <w:p w14:paraId="69D7B985" w14:textId="7EBAE1A2" w:rsidR="00AC12CF" w:rsidRPr="008A0A97" w:rsidRDefault="00AC12CF" w:rsidP="00A01AD7">
            <w:pPr>
              <w:spacing w:before="120" w:after="240" w:line="240" w:lineRule="auto"/>
              <w:rPr>
                <w:rFonts w:cs="Segoe UI"/>
                <w:b/>
                <w:iCs/>
              </w:rPr>
            </w:pPr>
            <w:r w:rsidRPr="008A0A97">
              <w:rPr>
                <w:rFonts w:cs="Segoe UI"/>
                <w:b/>
                <w:lang w:bidi="sv-FI"/>
              </w:rPr>
              <w:t>Upphävande av beslutet</w:t>
            </w:r>
          </w:p>
        </w:tc>
      </w:tr>
      <w:tr w:rsidR="008A0A97" w:rsidRPr="008A0A97" w14:paraId="4E496177" w14:textId="77777777" w:rsidTr="008070D3">
        <w:tc>
          <w:tcPr>
            <w:tcW w:w="5097" w:type="dxa"/>
          </w:tcPr>
          <w:p w14:paraId="1DB38A76" w14:textId="36C4AE7A" w:rsidR="00AC12CF" w:rsidRPr="008A0A97" w:rsidRDefault="00363F63" w:rsidP="00A01AD7">
            <w:pPr>
              <w:spacing w:before="120" w:after="240" w:line="240" w:lineRule="auto"/>
              <w:rPr>
                <w:rFonts w:cs="Segoe UI"/>
                <w:bCs/>
                <w:iCs/>
              </w:rPr>
            </w:pPr>
            <w:r w:rsidRPr="008A0A97">
              <w:rPr>
                <w:rFonts w:cs="Segoe UI"/>
                <w:lang w:bidi="sv-FI"/>
              </w:rPr>
              <w:t>Arkivverkets beslut om varaktig förvaring av journalhandlingar 16.2.2009 (AL/</w:t>
            </w:r>
            <w:proofErr w:type="gramStart"/>
            <w:r w:rsidRPr="008A0A97">
              <w:rPr>
                <w:rFonts w:cs="Segoe UI"/>
                <w:lang w:bidi="sv-FI"/>
              </w:rPr>
              <w:t>14372</w:t>
            </w:r>
            <w:proofErr w:type="gramEnd"/>
            <w:r w:rsidRPr="008A0A97">
              <w:rPr>
                <w:rFonts w:cs="Segoe UI"/>
                <w:lang w:bidi="sv-FI"/>
              </w:rPr>
              <w:t>/07.01.01.03.01/2008)</w:t>
            </w:r>
          </w:p>
        </w:tc>
        <w:tc>
          <w:tcPr>
            <w:tcW w:w="4537" w:type="dxa"/>
          </w:tcPr>
          <w:p w14:paraId="215C38C9" w14:textId="77777777" w:rsidR="00AC12CF" w:rsidRPr="008A0A97" w:rsidRDefault="00AC12CF" w:rsidP="00A01AD7">
            <w:pPr>
              <w:spacing w:before="120" w:after="240" w:line="240" w:lineRule="auto"/>
              <w:rPr>
                <w:rFonts w:cs="Segoe UI"/>
                <w:bCs/>
                <w:iCs/>
              </w:rPr>
            </w:pPr>
            <w:r w:rsidRPr="008A0A97">
              <w:rPr>
                <w:rFonts w:cs="Segoe UI"/>
                <w:lang w:bidi="sv-FI"/>
              </w:rPr>
              <w:t xml:space="preserve">Beslutet upphävs för digitala och mikrofilmade journalhandlingar. </w:t>
            </w:r>
          </w:p>
          <w:p w14:paraId="0BD39009" w14:textId="11F69859" w:rsidR="00AC12CF" w:rsidRPr="008A0A97" w:rsidRDefault="00AC12CF" w:rsidP="00A01AD7">
            <w:pPr>
              <w:spacing w:before="120" w:after="240" w:line="240" w:lineRule="auto"/>
              <w:rPr>
                <w:rFonts w:cs="Segoe UI"/>
                <w:bCs/>
                <w:iCs/>
              </w:rPr>
            </w:pPr>
            <w:r w:rsidRPr="008A0A97">
              <w:rPr>
                <w:rFonts w:cs="Segoe UI"/>
                <w:lang w:bidi="sv-FI"/>
              </w:rPr>
              <w:t>Beslutet upphävs för analoga journalhandlingar som genererats från och med den 1 januari 2022.</w:t>
            </w:r>
          </w:p>
        </w:tc>
      </w:tr>
      <w:tr w:rsidR="008A0A97" w:rsidRPr="008A0A97" w14:paraId="6346001A" w14:textId="77777777" w:rsidTr="008070D3">
        <w:tc>
          <w:tcPr>
            <w:tcW w:w="5097" w:type="dxa"/>
          </w:tcPr>
          <w:p w14:paraId="702CF4E9" w14:textId="0D723DCC" w:rsidR="00AC12CF" w:rsidRPr="008A0A97" w:rsidRDefault="00363F63" w:rsidP="00A01AD7">
            <w:pPr>
              <w:spacing w:before="120" w:after="240" w:line="240" w:lineRule="auto"/>
              <w:rPr>
                <w:rFonts w:cs="Segoe UI"/>
                <w:bCs/>
                <w:iCs/>
              </w:rPr>
            </w:pPr>
            <w:r w:rsidRPr="008A0A97">
              <w:rPr>
                <w:rFonts w:cs="Segoe UI"/>
                <w:lang w:bidi="sv-FI"/>
              </w:rPr>
              <w:t>Arkivverkets beslut om förvaring av gamla patientuppgifter i elektroniskt format varaktigt tills vidare 6.7.2015 (AL/</w:t>
            </w:r>
            <w:proofErr w:type="gramStart"/>
            <w:r w:rsidRPr="008A0A97">
              <w:rPr>
                <w:rFonts w:cs="Segoe UI"/>
                <w:lang w:bidi="sv-FI"/>
              </w:rPr>
              <w:t>12013</w:t>
            </w:r>
            <w:proofErr w:type="gramEnd"/>
            <w:r w:rsidRPr="008A0A97">
              <w:rPr>
                <w:rFonts w:cs="Segoe UI"/>
                <w:lang w:bidi="sv-FI"/>
              </w:rPr>
              <w:t>/07.01.01.03.02/2011)</w:t>
            </w:r>
          </w:p>
        </w:tc>
        <w:tc>
          <w:tcPr>
            <w:tcW w:w="4537" w:type="dxa"/>
          </w:tcPr>
          <w:p w14:paraId="07BC70F4" w14:textId="28A81A62" w:rsidR="00AC12CF" w:rsidRPr="008A0A97" w:rsidRDefault="00AC12CF" w:rsidP="00A01AD7">
            <w:pPr>
              <w:spacing w:before="120" w:after="240" w:line="240" w:lineRule="auto"/>
              <w:rPr>
                <w:rFonts w:cs="Segoe UI"/>
                <w:bCs/>
                <w:iCs/>
              </w:rPr>
            </w:pPr>
            <w:r w:rsidRPr="008A0A97">
              <w:rPr>
                <w:rFonts w:cs="Segoe UI"/>
                <w:lang w:bidi="sv-FI"/>
              </w:rPr>
              <w:t>Beslutet upphävs i sin helhet.</w:t>
            </w:r>
          </w:p>
        </w:tc>
      </w:tr>
      <w:tr w:rsidR="008A0A97" w:rsidRPr="008A0A97" w14:paraId="19AE90A2" w14:textId="77777777" w:rsidTr="008070D3">
        <w:tc>
          <w:tcPr>
            <w:tcW w:w="5097" w:type="dxa"/>
          </w:tcPr>
          <w:p w14:paraId="0F7EDFE2" w14:textId="4AA83650" w:rsidR="00AC12CF" w:rsidRPr="008A0A97" w:rsidRDefault="00AC12CF" w:rsidP="00A01AD7">
            <w:pPr>
              <w:spacing w:before="120" w:after="240" w:line="240" w:lineRule="auto"/>
              <w:rPr>
                <w:rFonts w:cs="Segoe UI"/>
                <w:bCs/>
                <w:iCs/>
              </w:rPr>
            </w:pPr>
            <w:r w:rsidRPr="008A0A97">
              <w:rPr>
                <w:rFonts w:cs="Segoe UI"/>
                <w:lang w:bidi="sv-FI"/>
              </w:rPr>
              <w:t>Statsarkivets beslut om förvaringstider för kommunala handlingar 14.4.1989 (del 2. Handlingar inom hälso- och sjukvården)</w:t>
            </w:r>
          </w:p>
        </w:tc>
        <w:tc>
          <w:tcPr>
            <w:tcW w:w="4537" w:type="dxa"/>
          </w:tcPr>
          <w:p w14:paraId="115F8CF0" w14:textId="029EBF6F" w:rsidR="00AC12CF" w:rsidRPr="008A0A97" w:rsidRDefault="0078775F" w:rsidP="00A01AD7">
            <w:pPr>
              <w:spacing w:before="120" w:after="240" w:line="240" w:lineRule="auto"/>
              <w:rPr>
                <w:rFonts w:cs="Segoe UI"/>
                <w:bCs/>
                <w:iCs/>
              </w:rPr>
            </w:pPr>
            <w:r w:rsidRPr="008A0A97">
              <w:rPr>
                <w:rFonts w:cs="Segoe UI"/>
                <w:lang w:bidi="sv-FI"/>
              </w:rPr>
              <w:t>Beslutet upphävs för digitala och mikrofilmade journalhandlingar.</w:t>
            </w:r>
          </w:p>
        </w:tc>
      </w:tr>
      <w:tr w:rsidR="008070D3" w:rsidRPr="008A0A97" w14:paraId="49A88D48" w14:textId="77777777" w:rsidTr="008070D3">
        <w:tc>
          <w:tcPr>
            <w:tcW w:w="5097" w:type="dxa"/>
          </w:tcPr>
          <w:p w14:paraId="5BCE89A3" w14:textId="61693E23" w:rsidR="00AC12CF" w:rsidRPr="008A0A97" w:rsidRDefault="00363F63" w:rsidP="00A01AD7">
            <w:pPr>
              <w:spacing w:before="120" w:after="240" w:line="240" w:lineRule="auto"/>
              <w:rPr>
                <w:rFonts w:cs="Segoe UI"/>
                <w:bCs/>
                <w:iCs/>
              </w:rPr>
            </w:pPr>
            <w:r w:rsidRPr="008A0A97">
              <w:rPr>
                <w:rFonts w:cs="Segoe UI"/>
                <w:lang w:bidi="sv-FI"/>
              </w:rPr>
              <w:lastRenderedPageBreak/>
              <w:t>Arkivverkets beslut om varaktig förvaring av handlingar som hör till Försvarsmaktens uppgiftsklasser Hälso- och sjukvård (06) och Ledningssystemavdelning (07) 17.11.2015 (AL/</w:t>
            </w:r>
            <w:proofErr w:type="gramStart"/>
            <w:r w:rsidRPr="008A0A97">
              <w:rPr>
                <w:rFonts w:cs="Segoe UI"/>
                <w:lang w:bidi="sv-FI"/>
              </w:rPr>
              <w:t>18561</w:t>
            </w:r>
            <w:proofErr w:type="gramEnd"/>
            <w:r w:rsidRPr="008A0A97">
              <w:rPr>
                <w:rFonts w:cs="Segoe UI"/>
                <w:lang w:bidi="sv-FI"/>
              </w:rPr>
              <w:t>/07.01.01.03.01/2014)</w:t>
            </w:r>
          </w:p>
        </w:tc>
        <w:tc>
          <w:tcPr>
            <w:tcW w:w="4537" w:type="dxa"/>
          </w:tcPr>
          <w:p w14:paraId="0A5A23E7" w14:textId="77777777" w:rsidR="009B6B41" w:rsidRPr="008A0A97" w:rsidRDefault="0078775F" w:rsidP="00A01AD7">
            <w:pPr>
              <w:spacing w:before="120" w:after="240" w:line="240" w:lineRule="auto"/>
              <w:rPr>
                <w:rFonts w:cs="Segoe UI"/>
                <w:bCs/>
                <w:iCs/>
              </w:rPr>
            </w:pPr>
            <w:r w:rsidRPr="008A0A97">
              <w:rPr>
                <w:rFonts w:cs="Segoe UI"/>
                <w:lang w:bidi="sv-FI"/>
              </w:rPr>
              <w:t>Beslutet upphävs för digitala och mikrofilmade journalhandlingar inom företagshälsovården.</w:t>
            </w:r>
          </w:p>
          <w:p w14:paraId="2812F5B5" w14:textId="33B73390" w:rsidR="00AC12CF" w:rsidRPr="008A0A97" w:rsidRDefault="00AC12CF" w:rsidP="00A01AD7">
            <w:pPr>
              <w:spacing w:before="120" w:after="240" w:line="240" w:lineRule="auto"/>
              <w:rPr>
                <w:rFonts w:cs="Segoe UI"/>
                <w:bCs/>
                <w:iCs/>
              </w:rPr>
            </w:pPr>
            <w:r w:rsidRPr="008A0A97">
              <w:rPr>
                <w:rFonts w:cs="Segoe UI"/>
                <w:lang w:bidi="sv-FI"/>
              </w:rPr>
              <w:t>Beslutet upphävs för analoga journalhandlingar inom företagshälsovården som genererats från och med den 1 januari 2022.</w:t>
            </w:r>
          </w:p>
          <w:p w14:paraId="1D831AD1" w14:textId="302D9B78" w:rsidR="0078775F" w:rsidRPr="008A0A97" w:rsidRDefault="0078775F" w:rsidP="00A01AD7">
            <w:pPr>
              <w:spacing w:before="120" w:after="240" w:line="240" w:lineRule="auto"/>
              <w:rPr>
                <w:rFonts w:cs="Segoe UI"/>
                <w:bCs/>
                <w:iCs/>
              </w:rPr>
            </w:pPr>
            <w:r w:rsidRPr="008A0A97">
              <w:rPr>
                <w:rFonts w:cs="Segoe UI"/>
                <w:lang w:bidi="sv-FI"/>
              </w:rPr>
              <w:t>Tidigare gallringsbeslut gäller fortfarande för sjukvård av beväringar och reservister.</w:t>
            </w:r>
          </w:p>
        </w:tc>
      </w:tr>
      <w:tr w:rsidR="008070D3" w:rsidRPr="008A0A97" w14:paraId="6D753D41" w14:textId="77777777" w:rsidTr="008070D3">
        <w:tc>
          <w:tcPr>
            <w:tcW w:w="5097" w:type="dxa"/>
          </w:tcPr>
          <w:p w14:paraId="63B8BDD1" w14:textId="77777777" w:rsidR="008070D3" w:rsidRPr="008A0A97" w:rsidRDefault="008070D3" w:rsidP="00F27BC8">
            <w:pPr>
              <w:spacing w:before="120" w:after="240" w:line="240" w:lineRule="auto"/>
              <w:rPr>
                <w:rFonts w:cs="Segoe UI"/>
                <w:bCs/>
                <w:iCs/>
              </w:rPr>
            </w:pPr>
            <w:r w:rsidRPr="008A0A97">
              <w:rPr>
                <w:rFonts w:cs="Segoe UI"/>
                <w:lang w:bidi="sv-FI"/>
              </w:rPr>
              <w:t>Statsarkivets beslut om varaktig förvaring av handlingar inom hälso- och sjukvården som gäller invånare i kommunerna Enontekis, Enare och Utsjoki 29.12.1988 (VA 3/31/87)</w:t>
            </w:r>
          </w:p>
        </w:tc>
        <w:tc>
          <w:tcPr>
            <w:tcW w:w="4537" w:type="dxa"/>
          </w:tcPr>
          <w:p w14:paraId="4156E4E0" w14:textId="77777777" w:rsidR="008070D3" w:rsidRPr="008A0A97" w:rsidRDefault="008070D3" w:rsidP="00F27BC8">
            <w:pPr>
              <w:spacing w:before="120" w:after="240" w:line="240" w:lineRule="auto"/>
              <w:rPr>
                <w:rFonts w:cs="Segoe UI"/>
                <w:bCs/>
                <w:iCs/>
              </w:rPr>
            </w:pPr>
            <w:r w:rsidRPr="008A0A97">
              <w:rPr>
                <w:rFonts w:cs="Segoe UI"/>
                <w:lang w:bidi="sv-FI"/>
              </w:rPr>
              <w:t xml:space="preserve">Beslutet upphävs för digitala och mikrofilmade journalhandlingar.  </w:t>
            </w:r>
          </w:p>
          <w:p w14:paraId="3D973912" w14:textId="77777777" w:rsidR="008070D3" w:rsidRPr="008A0A97" w:rsidRDefault="008070D3" w:rsidP="00F27BC8">
            <w:pPr>
              <w:spacing w:before="120" w:after="240" w:line="240" w:lineRule="auto"/>
              <w:rPr>
                <w:rFonts w:cs="Segoe UI"/>
                <w:bCs/>
                <w:iCs/>
              </w:rPr>
            </w:pPr>
            <w:r w:rsidRPr="008A0A97">
              <w:rPr>
                <w:rFonts w:cs="Segoe UI"/>
                <w:lang w:bidi="sv-FI"/>
              </w:rPr>
              <w:t>Beslutet upphävs för analoga journalhandlingar som genererats från och med den 1 januari 2022.</w:t>
            </w:r>
          </w:p>
        </w:tc>
      </w:tr>
    </w:tbl>
    <w:p w14:paraId="63A9FF96" w14:textId="22714C6D" w:rsidR="00606427" w:rsidRPr="008A0A97" w:rsidRDefault="00606427" w:rsidP="00874D96">
      <w:pPr>
        <w:spacing w:before="240" w:line="240" w:lineRule="auto"/>
        <w:contextualSpacing/>
        <w:rPr>
          <w:rFonts w:cs="Segoe UI"/>
        </w:rPr>
      </w:pPr>
    </w:p>
    <w:p w14:paraId="2028DA22" w14:textId="77777777" w:rsidR="00D611F8" w:rsidRPr="008A0A97" w:rsidRDefault="00D611F8" w:rsidP="00874D96">
      <w:pPr>
        <w:spacing w:line="240" w:lineRule="auto"/>
        <w:ind w:left="1440"/>
        <w:contextualSpacing/>
      </w:pPr>
    </w:p>
    <w:p w14:paraId="2AFBE3C8" w14:textId="6C7983E9" w:rsidR="006F72A0" w:rsidRPr="008A0A97" w:rsidRDefault="006F72A0" w:rsidP="00F0511C">
      <w:pPr>
        <w:pStyle w:val="Otsikko2"/>
        <w:spacing w:after="240"/>
      </w:pPr>
      <w:r w:rsidRPr="008A0A97">
        <w:rPr>
          <w:lang w:bidi="sv-FI"/>
        </w:rPr>
        <w:t>Motiveringar till beslutet</w:t>
      </w:r>
    </w:p>
    <w:p w14:paraId="0ED82E3C" w14:textId="77777777" w:rsidR="00723E52" w:rsidRPr="008A0A97" w:rsidRDefault="00723E52" w:rsidP="009B1672">
      <w:pPr>
        <w:shd w:val="clear" w:color="auto" w:fill="FFFFFF" w:themeFill="background1"/>
        <w:spacing w:after="120" w:line="240" w:lineRule="auto"/>
        <w:rPr>
          <w:rFonts w:cs="Segoe UI"/>
        </w:rPr>
      </w:pPr>
      <w:r w:rsidRPr="008A0A97">
        <w:rPr>
          <w:rFonts w:cs="Segoe UI"/>
          <w:lang w:bidi="sv-FI"/>
        </w:rPr>
        <w:t>Vid bestämning av det varaktiga förvaringsvärdet för de handlingar som nämns i förslaget har de jämförts mot de mål och kriterier för värdebestämnings- och gallringspolitiken gällande dokumentinformation inom den offentliga förvaltningen som fastställs i Riksarkivets värdebestämnings- och gallringspolitik (KA/</w:t>
      </w:r>
      <w:proofErr w:type="gramStart"/>
      <w:r w:rsidRPr="008A0A97">
        <w:rPr>
          <w:rFonts w:cs="Segoe UI"/>
          <w:lang w:bidi="sv-FI"/>
        </w:rPr>
        <w:t>12247</w:t>
      </w:r>
      <w:proofErr w:type="gramEnd"/>
      <w:r w:rsidRPr="008A0A97">
        <w:rPr>
          <w:rFonts w:cs="Segoe UI"/>
          <w:lang w:bidi="sv-FI"/>
        </w:rPr>
        <w:t xml:space="preserve">/07.01.01.03.00/2019) och strategi för 2025. </w:t>
      </w:r>
    </w:p>
    <w:p w14:paraId="16727955" w14:textId="77777777" w:rsidR="00723E52" w:rsidRPr="008A0A97" w:rsidRDefault="00723E52" w:rsidP="009B1672">
      <w:pPr>
        <w:shd w:val="clear" w:color="auto" w:fill="FFFFFF" w:themeFill="background1"/>
        <w:spacing w:line="240" w:lineRule="auto"/>
        <w:rPr>
          <w:rFonts w:cs="Segoe UI"/>
        </w:rPr>
      </w:pPr>
      <w:r w:rsidRPr="008A0A97">
        <w:rPr>
          <w:rFonts w:cs="Segoe UI"/>
          <w:lang w:bidi="sv-FI"/>
        </w:rPr>
        <w:t xml:space="preserve">Vid värdebestämningen av handlingar har man beaktat deras samhälleliga betydelse, verksamhetsmiljön, uppgifternas unicitet och framtida användningsmöjligheter samt handlingarnas informationsvärde, det vill säga betydelse som informationsmaterial som dokumenterar natur- och kulturmiljön, samhället, samhälleliga processer och fenomen. </w:t>
      </w:r>
    </w:p>
    <w:p w14:paraId="425AEA18" w14:textId="77777777" w:rsidR="005D418E" w:rsidRPr="008A0A97" w:rsidRDefault="005D418E" w:rsidP="005569F6">
      <w:pPr>
        <w:shd w:val="clear" w:color="auto" w:fill="FFFFFF" w:themeFill="background1"/>
        <w:spacing w:after="120" w:line="240" w:lineRule="auto"/>
        <w:rPr>
          <w:rFonts w:cs="Segoe UI"/>
        </w:rPr>
      </w:pPr>
      <w:r w:rsidRPr="008A0A97">
        <w:rPr>
          <w:rFonts w:cs="Segoe UI"/>
          <w:lang w:bidi="sv-FI"/>
        </w:rPr>
        <w:t xml:space="preserve">De handlingar och uppgifter som är föremål för gallringsbeslutet innehåller personuppgifter. </w:t>
      </w:r>
      <w:bookmarkStart w:id="5" w:name="_Hlk198726400"/>
      <w:r w:rsidRPr="008A0A97">
        <w:rPr>
          <w:rFonts w:cs="Segoe UI"/>
          <w:lang w:bidi="sv-FI"/>
        </w:rPr>
        <w:t>Dataskyddsförordningen och dataskyddslagen möjliggör förvaring och annan behandling av personuppgifter för arkivändamål av allmänt intresse.</w:t>
      </w:r>
    </w:p>
    <w:bookmarkEnd w:id="5"/>
    <w:p w14:paraId="34D36366" w14:textId="77777777" w:rsidR="005D418E" w:rsidRPr="008A0A97" w:rsidRDefault="005D418E" w:rsidP="005569F6">
      <w:pPr>
        <w:shd w:val="clear" w:color="auto" w:fill="FFFFFF" w:themeFill="background1"/>
        <w:spacing w:after="120" w:line="240" w:lineRule="auto"/>
        <w:rPr>
          <w:rFonts w:cs="Segoe UI"/>
        </w:rPr>
      </w:pPr>
      <w:r w:rsidRPr="008A0A97">
        <w:rPr>
          <w:rFonts w:cs="Segoe UI"/>
          <w:lang w:bidi="sv-FI"/>
        </w:rPr>
        <w:t xml:space="preserve">I värdebestämningen har Riksarkivet bedömt nödvändigheten och proportionaliteten av varaktig förvaring (arkivering) av handlingar som innehåller personuppgifter i enlighet med 4 § i dataskyddslagen (1050/2018) och konstaterat att forskning och andra användningsändamål kräver varaktig förvaring av de personuppgifter som nämns i beslutet. De mål, metoder och kriterier för bevarandeanalys och gallring </w:t>
      </w:r>
      <w:r w:rsidRPr="008A0A97">
        <w:rPr>
          <w:rFonts w:cs="Segoe UI"/>
          <w:lang w:bidi="sv-FI"/>
        </w:rPr>
        <w:lastRenderedPageBreak/>
        <w:t xml:space="preserve">som Riksarkivet har använt beaktar informationens </w:t>
      </w:r>
      <w:proofErr w:type="spellStart"/>
      <w:r w:rsidRPr="008A0A97">
        <w:rPr>
          <w:rFonts w:cs="Segoe UI"/>
          <w:lang w:bidi="sv-FI"/>
        </w:rPr>
        <w:t>kulturarvsvärde</w:t>
      </w:r>
      <w:proofErr w:type="spellEnd"/>
      <w:r w:rsidRPr="008A0A97">
        <w:rPr>
          <w:rFonts w:cs="Segoe UI"/>
          <w:lang w:bidi="sv-FI"/>
        </w:rPr>
        <w:t xml:space="preserve">, betydelsen av personuppgifter i forskningen och annan användning samt skyddet av personuppgifter. </w:t>
      </w:r>
    </w:p>
    <w:p w14:paraId="2C99213D" w14:textId="77777777" w:rsidR="005D418E" w:rsidRDefault="005D418E" w:rsidP="005569F6">
      <w:pPr>
        <w:shd w:val="clear" w:color="auto" w:fill="FFFFFF" w:themeFill="background1"/>
        <w:spacing w:line="240" w:lineRule="auto"/>
        <w:rPr>
          <w:rFonts w:cs="Segoe UI"/>
        </w:rPr>
      </w:pPr>
      <w:r w:rsidRPr="008A0A97">
        <w:rPr>
          <w:rFonts w:cs="Segoe UI"/>
          <w:lang w:bidi="sv-FI"/>
        </w:rPr>
        <w:t>Forskningen och annan användning är skyddade genom den yttrandefrihet och vetenskapens frihet som föreskrivs i Finlands grundlag (731/1999, 12 § och 16 §). Vid behandlingen av personuppgifter som ska förvaras varaktigt ska den personuppgiftsansvarige beakta de krav som ställs i EU:s allmänna dataskyddsförordning (2016/679) och den nationella dataskyddslagen (1050/2018).</w:t>
      </w:r>
    </w:p>
    <w:p w14:paraId="59314711" w14:textId="77777777" w:rsidR="00193A67" w:rsidRPr="008A0A97" w:rsidRDefault="00193A67" w:rsidP="005569F6">
      <w:pPr>
        <w:shd w:val="clear" w:color="auto" w:fill="FFFFFF" w:themeFill="background1"/>
        <w:spacing w:line="240" w:lineRule="auto"/>
        <w:rPr>
          <w:rFonts w:cs="Segoe UI"/>
        </w:rPr>
      </w:pPr>
    </w:p>
    <w:p w14:paraId="2E1E3C4C" w14:textId="77777777" w:rsidR="006F72A0" w:rsidRPr="008A0A97" w:rsidRDefault="006F72A0" w:rsidP="00F0511C">
      <w:pPr>
        <w:pStyle w:val="Otsikko2"/>
        <w:spacing w:after="240"/>
      </w:pPr>
      <w:r w:rsidRPr="008A0A97">
        <w:rPr>
          <w:lang w:bidi="sv-FI"/>
        </w:rPr>
        <w:t>Tillämpade rättsnormer</w:t>
      </w:r>
    </w:p>
    <w:p w14:paraId="58FBECE6" w14:textId="4220EF2B" w:rsidR="006F72A0" w:rsidRPr="008A0A97" w:rsidRDefault="006F72A0" w:rsidP="005F403B">
      <w:pPr>
        <w:spacing w:line="240" w:lineRule="auto"/>
        <w:rPr>
          <w:rFonts w:cs="Segoe UI"/>
          <w:i/>
          <w:iCs/>
        </w:rPr>
      </w:pPr>
      <w:r w:rsidRPr="008A0A97">
        <w:rPr>
          <w:rFonts w:cs="Segoe UI"/>
          <w:lang w:bidi="sv-FI"/>
        </w:rPr>
        <w:t>Arkivlagen (831/1994) 1, 7 och 8 §</w:t>
      </w:r>
    </w:p>
    <w:p w14:paraId="53BC23B9" w14:textId="77777777" w:rsidR="006F72A0" w:rsidRPr="008A0A97" w:rsidRDefault="006F72A0" w:rsidP="005F403B">
      <w:pPr>
        <w:spacing w:line="240" w:lineRule="auto"/>
        <w:rPr>
          <w:rFonts w:cs="Segoe UI"/>
        </w:rPr>
      </w:pPr>
      <w:r w:rsidRPr="008A0A97">
        <w:rPr>
          <w:rFonts w:cs="Segoe UI"/>
          <w:lang w:bidi="sv-FI"/>
        </w:rPr>
        <w:t xml:space="preserve">Lagen om elektronisk kommunikation i myndigheternas verksamhet (13/2003) 21 § </w:t>
      </w:r>
    </w:p>
    <w:p w14:paraId="73B346D2" w14:textId="77777777" w:rsidR="006F72A0" w:rsidRPr="008A0A97" w:rsidRDefault="006F72A0" w:rsidP="005F403B">
      <w:pPr>
        <w:spacing w:line="240" w:lineRule="auto"/>
        <w:rPr>
          <w:rFonts w:cs="Segoe UI"/>
        </w:rPr>
      </w:pPr>
      <w:r w:rsidRPr="008A0A97">
        <w:rPr>
          <w:rFonts w:cs="Segoe UI"/>
          <w:lang w:bidi="sv-FI"/>
        </w:rPr>
        <w:t xml:space="preserve">EU:s allmänna dataskyddsförordning (2016/679) artiklarna 5, 7, 9 och 89 </w:t>
      </w:r>
    </w:p>
    <w:p w14:paraId="3FB0E598" w14:textId="77777777" w:rsidR="006F72A0" w:rsidRPr="008A0A97" w:rsidRDefault="006F72A0" w:rsidP="005F403B">
      <w:pPr>
        <w:spacing w:line="240" w:lineRule="auto"/>
        <w:rPr>
          <w:rFonts w:cs="Segoe UI"/>
        </w:rPr>
      </w:pPr>
      <w:r w:rsidRPr="008A0A97">
        <w:rPr>
          <w:rFonts w:cs="Segoe UI"/>
          <w:lang w:bidi="sv-FI"/>
        </w:rPr>
        <w:t xml:space="preserve">Dataskyddslagen (1050/2018) 4, 6 § </w:t>
      </w:r>
    </w:p>
    <w:p w14:paraId="23FC23B1" w14:textId="77777777" w:rsidR="009B6B41" w:rsidRPr="008A0A97" w:rsidRDefault="009B6B41" w:rsidP="005F403B">
      <w:pPr>
        <w:spacing w:line="240" w:lineRule="auto"/>
        <w:rPr>
          <w:rFonts w:cs="Segoe UI"/>
        </w:rPr>
      </w:pPr>
    </w:p>
    <w:p w14:paraId="0064C314" w14:textId="77777777" w:rsidR="006F72A0" w:rsidRPr="008A0A97" w:rsidRDefault="006F72A0" w:rsidP="005F403B">
      <w:pPr>
        <w:pStyle w:val="Otsikko2"/>
        <w:spacing w:line="240" w:lineRule="auto"/>
        <w:rPr>
          <w:rFonts w:cs="Segoe UI"/>
          <w:sz w:val="22"/>
          <w:szCs w:val="22"/>
        </w:rPr>
      </w:pPr>
    </w:p>
    <w:p w14:paraId="349C74FD" w14:textId="77777777" w:rsidR="006F72A0" w:rsidRPr="008A0A97" w:rsidRDefault="006F72A0" w:rsidP="005F403B">
      <w:pPr>
        <w:spacing w:line="240" w:lineRule="auto"/>
        <w:ind w:left="1304" w:firstLine="1304"/>
        <w:rPr>
          <w:rFonts w:cs="Segoe UI"/>
        </w:rPr>
      </w:pPr>
      <w:r w:rsidRPr="008A0A97">
        <w:rPr>
          <w:rFonts w:cs="Segoe UI"/>
          <w:lang w:bidi="sv-FI"/>
        </w:rPr>
        <w:t>Generaldirektör</w:t>
      </w:r>
      <w:r w:rsidRPr="008A0A97">
        <w:rPr>
          <w:rFonts w:cs="Segoe UI"/>
          <w:lang w:bidi="sv-FI"/>
        </w:rPr>
        <w:tab/>
      </w:r>
      <w:r w:rsidRPr="008A0A97">
        <w:rPr>
          <w:rFonts w:cs="Segoe UI"/>
          <w:lang w:bidi="sv-FI"/>
        </w:rPr>
        <w:tab/>
        <w:t xml:space="preserve"> </w:t>
      </w:r>
      <w:r w:rsidRPr="008A0A97">
        <w:rPr>
          <w:rFonts w:cs="Segoe UI"/>
          <w:lang w:bidi="sv-FI"/>
        </w:rPr>
        <w:tab/>
        <w:t>Päivi Happonen</w:t>
      </w:r>
    </w:p>
    <w:p w14:paraId="7140D384" w14:textId="77777777" w:rsidR="006F72A0" w:rsidRPr="008A0A97" w:rsidRDefault="006F72A0" w:rsidP="005F403B">
      <w:pPr>
        <w:spacing w:line="240" w:lineRule="auto"/>
        <w:ind w:left="2552"/>
        <w:rPr>
          <w:rFonts w:cs="Segoe UI"/>
        </w:rPr>
      </w:pPr>
    </w:p>
    <w:p w14:paraId="5EFF73B9" w14:textId="3FE267C6" w:rsidR="006F72A0" w:rsidRPr="008A0A97" w:rsidRDefault="006F72A0" w:rsidP="005F403B">
      <w:pPr>
        <w:spacing w:line="240" w:lineRule="auto"/>
        <w:ind w:left="1304" w:firstLine="1304"/>
        <w:rPr>
          <w:rFonts w:cs="Segoe UI"/>
        </w:rPr>
      </w:pPr>
      <w:r w:rsidRPr="008A0A97">
        <w:rPr>
          <w:rFonts w:cs="Segoe UI"/>
          <w:lang w:bidi="sv-FI"/>
        </w:rPr>
        <w:t>Enhetschef</w:t>
      </w:r>
      <w:r w:rsidRPr="008A0A97">
        <w:rPr>
          <w:rFonts w:cs="Segoe UI"/>
          <w:lang w:bidi="sv-FI"/>
        </w:rPr>
        <w:tab/>
        <w:t xml:space="preserve"> </w:t>
      </w:r>
      <w:r w:rsidRPr="008A0A97">
        <w:rPr>
          <w:rFonts w:cs="Segoe UI"/>
          <w:lang w:bidi="sv-FI"/>
        </w:rPr>
        <w:tab/>
        <w:t>Olli Savo</w:t>
      </w:r>
    </w:p>
    <w:p w14:paraId="09077B51" w14:textId="77777777" w:rsidR="006F72A0" w:rsidRPr="008A0A97" w:rsidRDefault="006F72A0" w:rsidP="005F403B">
      <w:pPr>
        <w:spacing w:line="240" w:lineRule="auto"/>
        <w:rPr>
          <w:rFonts w:cs="Segoe UI"/>
        </w:rPr>
      </w:pPr>
    </w:p>
    <w:p w14:paraId="7F12969B" w14:textId="7677C591" w:rsidR="006F72A0" w:rsidRPr="008A0A97" w:rsidRDefault="006F72A0" w:rsidP="005F403B">
      <w:pPr>
        <w:spacing w:line="240" w:lineRule="auto"/>
        <w:rPr>
          <w:rFonts w:cs="Segoe UI"/>
        </w:rPr>
      </w:pPr>
      <w:r w:rsidRPr="008A0A97">
        <w:rPr>
          <w:rFonts w:cs="Segoe UI"/>
          <w:lang w:bidi="sv-FI"/>
        </w:rPr>
        <w:t xml:space="preserve">Mer information om beslutet ges av Riksarkivet, 029 533 7400, </w:t>
      </w:r>
      <w:hyperlink r:id="rId11" w:history="1">
        <w:r w:rsidRPr="008A0A97">
          <w:rPr>
            <w:rStyle w:val="Hyperlinkki"/>
            <w:rFonts w:cs="Segoe UI"/>
            <w:b/>
            <w:color w:val="auto"/>
            <w:lang w:bidi="sv-FI"/>
          </w:rPr>
          <w:t>kirjaamo@kansallisarkisto.fi</w:t>
        </w:r>
      </w:hyperlink>
    </w:p>
    <w:p w14:paraId="0728C3C1" w14:textId="77777777" w:rsidR="006F72A0" w:rsidRPr="008A0A97" w:rsidRDefault="006F72A0" w:rsidP="005F403B">
      <w:pPr>
        <w:spacing w:line="240" w:lineRule="auto"/>
        <w:rPr>
          <w:rFonts w:cs="Segoe UI"/>
        </w:rPr>
      </w:pPr>
    </w:p>
    <w:p w14:paraId="41EA77F0" w14:textId="77777777" w:rsidR="006F72A0" w:rsidRPr="008A0A97" w:rsidRDefault="006F72A0" w:rsidP="005F403B">
      <w:pPr>
        <w:spacing w:line="240" w:lineRule="auto"/>
        <w:rPr>
          <w:rFonts w:cs="Segoe UI"/>
        </w:rPr>
      </w:pPr>
      <w:r w:rsidRPr="008A0A97">
        <w:rPr>
          <w:rFonts w:cs="Segoe UI"/>
          <w:lang w:bidi="sv-FI"/>
        </w:rPr>
        <w:t>BILAGOR</w:t>
      </w:r>
      <w:r w:rsidRPr="008A0A97">
        <w:rPr>
          <w:rFonts w:cs="Segoe UI"/>
          <w:lang w:bidi="sv-FI"/>
        </w:rPr>
        <w:tab/>
        <w:t xml:space="preserve"> </w:t>
      </w:r>
      <w:r w:rsidRPr="008A0A97">
        <w:rPr>
          <w:rFonts w:cs="Segoe UI"/>
          <w:lang w:bidi="sv-FI"/>
        </w:rPr>
        <w:tab/>
      </w:r>
      <w:proofErr w:type="spellStart"/>
      <w:r w:rsidRPr="008A0A97">
        <w:rPr>
          <w:rFonts w:cs="Segoe UI"/>
          <w:lang w:bidi="sv-FI"/>
        </w:rPr>
        <w:t>Besvärsanvisning</w:t>
      </w:r>
      <w:proofErr w:type="spellEnd"/>
    </w:p>
    <w:p w14:paraId="5B080E33" w14:textId="79E8EEDA" w:rsidR="006F72A0" w:rsidRPr="008A0A97" w:rsidRDefault="006F72A0" w:rsidP="005F403B">
      <w:pPr>
        <w:spacing w:line="240" w:lineRule="auto"/>
        <w:rPr>
          <w:rFonts w:cs="Segoe UI"/>
        </w:rPr>
      </w:pPr>
      <w:r w:rsidRPr="008A0A97">
        <w:rPr>
          <w:rFonts w:cs="Segoe UI"/>
          <w:lang w:bidi="sv-FI"/>
        </w:rPr>
        <w:tab/>
      </w:r>
      <w:r w:rsidRPr="008A0A97">
        <w:rPr>
          <w:rFonts w:cs="Segoe UI"/>
          <w:lang w:bidi="sv-FI"/>
        </w:rPr>
        <w:tab/>
        <w:t>Motiveringspromemoria</w:t>
      </w:r>
    </w:p>
    <w:p w14:paraId="02095BCE" w14:textId="516AEFC2" w:rsidR="002A04BB" w:rsidRPr="008A0A97" w:rsidRDefault="006F72A0" w:rsidP="005F403B">
      <w:pPr>
        <w:spacing w:line="240" w:lineRule="auto"/>
        <w:rPr>
          <w:rFonts w:cs="Segoe UI"/>
        </w:rPr>
      </w:pPr>
      <w:r w:rsidRPr="008A0A97">
        <w:rPr>
          <w:rFonts w:cs="Segoe UI"/>
          <w:lang w:bidi="sv-FI"/>
        </w:rPr>
        <w:tab/>
      </w:r>
      <w:r w:rsidRPr="008A0A97">
        <w:rPr>
          <w:rFonts w:cs="Segoe UI"/>
          <w:lang w:bidi="sv-FI"/>
        </w:rPr>
        <w:tab/>
      </w:r>
    </w:p>
    <w:p w14:paraId="580F0C83" w14:textId="77AAABE7" w:rsidR="002A04BB" w:rsidRPr="008A0A97" w:rsidRDefault="002A04BB" w:rsidP="005F403B">
      <w:pPr>
        <w:spacing w:line="240" w:lineRule="auto"/>
        <w:rPr>
          <w:rFonts w:cs="Segoe UI"/>
        </w:rPr>
      </w:pPr>
      <w:r w:rsidRPr="008A0A97">
        <w:rPr>
          <w:rFonts w:cs="Segoe UI"/>
          <w:lang w:bidi="sv-FI"/>
        </w:rPr>
        <w:t>FÖR KÄNNEDOM</w:t>
      </w:r>
      <w:r w:rsidRPr="008A0A97">
        <w:rPr>
          <w:rFonts w:cs="Segoe UI"/>
          <w:lang w:bidi="sv-FI"/>
        </w:rPr>
        <w:tab/>
      </w:r>
      <w:r w:rsidRPr="008A0A97">
        <w:rPr>
          <w:rFonts w:cs="Segoe UI"/>
          <w:lang w:bidi="sv-FI"/>
        </w:rPr>
        <w:tab/>
        <w:t>Välfärdsområdena</w:t>
      </w:r>
    </w:p>
    <w:p w14:paraId="13F7C3B5" w14:textId="6082EE3D" w:rsidR="00F0511C" w:rsidRPr="008A0A97" w:rsidRDefault="00F0511C" w:rsidP="005F403B">
      <w:pPr>
        <w:spacing w:line="240" w:lineRule="auto"/>
        <w:rPr>
          <w:rFonts w:cs="Segoe UI"/>
        </w:rPr>
      </w:pPr>
      <w:r w:rsidRPr="008A0A97">
        <w:rPr>
          <w:rFonts w:cs="Segoe UI"/>
          <w:lang w:bidi="sv-FI"/>
        </w:rPr>
        <w:tab/>
      </w:r>
      <w:r w:rsidRPr="008A0A97">
        <w:rPr>
          <w:rFonts w:cs="Segoe UI"/>
          <w:lang w:bidi="sv-FI"/>
        </w:rPr>
        <w:tab/>
        <w:t>Helsingfors stad</w:t>
      </w:r>
    </w:p>
    <w:p w14:paraId="39E1C2EC" w14:textId="0E140AD3" w:rsidR="00F0511C" w:rsidRPr="008A0A97" w:rsidRDefault="00F0511C" w:rsidP="005F403B">
      <w:pPr>
        <w:spacing w:line="240" w:lineRule="auto"/>
        <w:rPr>
          <w:rFonts w:cs="Segoe UI"/>
        </w:rPr>
      </w:pPr>
      <w:r w:rsidRPr="008A0A97">
        <w:rPr>
          <w:rFonts w:cs="Segoe UI"/>
          <w:lang w:bidi="sv-FI"/>
        </w:rPr>
        <w:tab/>
      </w:r>
      <w:r w:rsidRPr="008A0A97">
        <w:rPr>
          <w:rFonts w:cs="Segoe UI"/>
          <w:lang w:bidi="sv-FI"/>
        </w:rPr>
        <w:tab/>
      </w:r>
      <w:proofErr w:type="spellStart"/>
      <w:r w:rsidRPr="008A0A97">
        <w:rPr>
          <w:rFonts w:cs="Segoe UI"/>
          <w:lang w:bidi="sv-FI"/>
        </w:rPr>
        <w:t>HUS-gruppen</w:t>
      </w:r>
      <w:proofErr w:type="spellEnd"/>
    </w:p>
    <w:p w14:paraId="370BE11C" w14:textId="44A147DF" w:rsidR="00F0511C" w:rsidRPr="008A0A97" w:rsidRDefault="00F0511C" w:rsidP="005F403B">
      <w:pPr>
        <w:spacing w:line="240" w:lineRule="auto"/>
        <w:rPr>
          <w:rFonts w:cs="Segoe UI"/>
        </w:rPr>
      </w:pPr>
      <w:r w:rsidRPr="008A0A97">
        <w:rPr>
          <w:rFonts w:cs="Segoe UI"/>
          <w:lang w:bidi="sv-FI"/>
        </w:rPr>
        <w:tab/>
      </w:r>
      <w:r w:rsidRPr="008A0A97">
        <w:rPr>
          <w:rFonts w:cs="Segoe UI"/>
          <w:lang w:bidi="sv-FI"/>
        </w:rPr>
        <w:tab/>
        <w:t>Institutet för hälsa och välfärd</w:t>
      </w:r>
    </w:p>
    <w:p w14:paraId="21E9D97F" w14:textId="355BECB5" w:rsidR="00E27AA1" w:rsidRPr="008A0A97" w:rsidRDefault="00E27AA1" w:rsidP="005F403B">
      <w:pPr>
        <w:spacing w:line="240" w:lineRule="auto"/>
        <w:rPr>
          <w:rFonts w:cs="Segoe UI"/>
        </w:rPr>
      </w:pPr>
      <w:r w:rsidRPr="008A0A97">
        <w:rPr>
          <w:rFonts w:cs="Segoe UI"/>
          <w:lang w:bidi="sv-FI"/>
        </w:rPr>
        <w:lastRenderedPageBreak/>
        <w:tab/>
      </w:r>
      <w:r w:rsidRPr="008A0A97">
        <w:rPr>
          <w:rFonts w:cs="Segoe UI"/>
          <w:lang w:bidi="sv-FI"/>
        </w:rPr>
        <w:tab/>
        <w:t>Folkpensionsanstalten (FPA)</w:t>
      </w:r>
    </w:p>
    <w:p w14:paraId="576AB78C" w14:textId="308138DC" w:rsidR="008260E9" w:rsidRPr="008A0A97" w:rsidRDefault="008260E9" w:rsidP="005F403B">
      <w:pPr>
        <w:spacing w:line="240" w:lineRule="auto"/>
        <w:rPr>
          <w:rFonts w:cs="Segoe UI"/>
        </w:rPr>
      </w:pPr>
      <w:r w:rsidRPr="008A0A97">
        <w:rPr>
          <w:rFonts w:cs="Segoe UI"/>
          <w:lang w:bidi="sv-FI"/>
        </w:rPr>
        <w:tab/>
      </w:r>
      <w:r w:rsidRPr="008A0A97">
        <w:rPr>
          <w:rFonts w:cs="Segoe UI"/>
          <w:lang w:bidi="sv-FI"/>
        </w:rPr>
        <w:tab/>
        <w:t>Försvarsmakten</w:t>
      </w:r>
    </w:p>
    <w:p w14:paraId="571CCF69" w14:textId="078B9DA4" w:rsidR="008260E9" w:rsidRPr="008A0A97" w:rsidRDefault="005B226D" w:rsidP="005F403B">
      <w:pPr>
        <w:spacing w:line="240" w:lineRule="auto"/>
        <w:rPr>
          <w:rFonts w:cs="Segoe UI"/>
        </w:rPr>
      </w:pPr>
      <w:r w:rsidRPr="008A0A97">
        <w:rPr>
          <w:rFonts w:cs="Segoe UI"/>
          <w:lang w:bidi="sv-FI"/>
        </w:rPr>
        <w:tab/>
      </w:r>
      <w:r w:rsidRPr="008A0A97">
        <w:rPr>
          <w:rFonts w:cs="Segoe UI"/>
          <w:lang w:bidi="sv-FI"/>
        </w:rPr>
        <w:tab/>
        <w:t>Migrationsverket</w:t>
      </w:r>
    </w:p>
    <w:sectPr w:rsidR="008260E9" w:rsidRPr="008A0A97" w:rsidSect="00B85777">
      <w:headerReference w:type="default" r:id="rId12"/>
      <w:footerReference w:type="default" r:id="rId13"/>
      <w:pgSz w:w="11906" w:h="16838"/>
      <w:pgMar w:top="1134" w:right="567" w:bottom="141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4C509" w14:textId="77777777" w:rsidR="00F05FAF" w:rsidRDefault="00F05FAF" w:rsidP="0046258E">
      <w:pPr>
        <w:spacing w:after="0" w:line="240" w:lineRule="auto"/>
      </w:pPr>
      <w:r>
        <w:separator/>
      </w:r>
    </w:p>
  </w:endnote>
  <w:endnote w:type="continuationSeparator" w:id="0">
    <w:p w14:paraId="78D1CAFB" w14:textId="77777777" w:rsidR="00F05FAF" w:rsidRDefault="00F05FAF" w:rsidP="0046258E">
      <w:pPr>
        <w:spacing w:after="0" w:line="240" w:lineRule="auto"/>
      </w:pPr>
      <w:r>
        <w:continuationSeparator/>
      </w:r>
    </w:p>
  </w:endnote>
  <w:endnote w:type="continuationNotice" w:id="1">
    <w:p w14:paraId="73FF9236" w14:textId="77777777" w:rsidR="00F05FAF" w:rsidRDefault="00F05F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2E529" w14:textId="77777777" w:rsidR="0046258E" w:rsidRPr="00442D8F" w:rsidRDefault="0046258E" w:rsidP="001D47EE">
    <w:pPr>
      <w:pStyle w:val="Alatunniste"/>
    </w:pPr>
    <w:r>
      <w:rPr>
        <w:noProof/>
        <w:lang w:bidi="sv-FI"/>
      </w:rPr>
      <mc:AlternateContent>
        <mc:Choice Requires="wps">
          <w:drawing>
            <wp:anchor distT="0" distB="0" distL="114300" distR="114300" simplePos="0" relativeHeight="251658240" behindDoc="0" locked="0" layoutInCell="1" allowOverlap="1" wp14:anchorId="01EE11D3" wp14:editId="07777777">
              <wp:simplePos x="0" y="0"/>
              <wp:positionH relativeFrom="column">
                <wp:posOffset>0</wp:posOffset>
              </wp:positionH>
              <wp:positionV relativeFrom="paragraph">
                <wp:posOffset>116205</wp:posOffset>
              </wp:positionV>
              <wp:extent cx="6515100" cy="0"/>
              <wp:effectExtent l="9525" t="11430" r="9525" b="7620"/>
              <wp:wrapNone/>
              <wp:docPr id="2" name="Suora yhdysviiv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BB553" id="Suora yhdysviiva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51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"/>
          </w:pict>
        </mc:Fallback>
      </mc:AlternateContent>
    </w:r>
  </w:p>
  <w:tbl>
    <w:tblPr>
      <w:tblW w:w="10345" w:type="dxa"/>
      <w:tblLook w:val="01E0" w:firstRow="1" w:lastRow="1" w:firstColumn="1" w:lastColumn="1" w:noHBand="0" w:noVBand="0"/>
    </w:tblPr>
    <w:tblGrid>
      <w:gridCol w:w="1709"/>
      <w:gridCol w:w="1574"/>
      <w:gridCol w:w="2529"/>
      <w:gridCol w:w="717"/>
      <w:gridCol w:w="1418"/>
      <w:gridCol w:w="2398"/>
    </w:tblGrid>
    <w:tr w:rsidR="0046258E" w:rsidRPr="004B6342" w14:paraId="5D7B3926" w14:textId="77777777" w:rsidTr="00895943">
      <w:tc>
        <w:tcPr>
          <w:tcW w:w="1709" w:type="dxa"/>
        </w:tcPr>
        <w:p w14:paraId="152DE26E" w14:textId="77777777" w:rsidR="0046258E" w:rsidRPr="004B6342" w:rsidRDefault="0046258E" w:rsidP="002A1D0D">
          <w:pPr>
            <w:pStyle w:val="Alatunniste"/>
            <w:rPr>
              <w:b/>
              <w:szCs w:val="18"/>
            </w:rPr>
          </w:pPr>
          <w:r w:rsidRPr="004B6342">
            <w:rPr>
              <w:b/>
              <w:szCs w:val="18"/>
              <w:lang w:bidi="sv-FI"/>
            </w:rPr>
            <w:t>Riksarkivet</w:t>
          </w:r>
        </w:p>
      </w:tc>
      <w:tc>
        <w:tcPr>
          <w:tcW w:w="1574" w:type="dxa"/>
        </w:tcPr>
        <w:p w14:paraId="1102849E" w14:textId="77777777" w:rsidR="0046258E" w:rsidRPr="004B6342" w:rsidRDefault="0046258E" w:rsidP="002A1D0D">
          <w:pPr>
            <w:pStyle w:val="Alatunniste"/>
            <w:rPr>
              <w:szCs w:val="18"/>
            </w:rPr>
          </w:pPr>
          <w:r w:rsidRPr="004B6342">
            <w:rPr>
              <w:szCs w:val="18"/>
              <w:lang w:bidi="sv-FI"/>
            </w:rPr>
            <w:t>Fredsgatan 17</w:t>
          </w:r>
        </w:p>
      </w:tc>
      <w:tc>
        <w:tcPr>
          <w:tcW w:w="2529" w:type="dxa"/>
        </w:tcPr>
        <w:p w14:paraId="16FAC674" w14:textId="4DE41B22" w:rsidR="0046258E" w:rsidRPr="004B6342" w:rsidRDefault="7C472B85" w:rsidP="002A1D0D">
          <w:pPr>
            <w:pStyle w:val="Alatunniste"/>
          </w:pPr>
          <w:r>
            <w:rPr>
              <w:lang w:bidi="sv-FI"/>
            </w:rPr>
            <w:t>PB 258, 00171 Helsingfors</w:t>
          </w:r>
        </w:p>
      </w:tc>
      <w:tc>
        <w:tcPr>
          <w:tcW w:w="717" w:type="dxa"/>
        </w:tcPr>
        <w:p w14:paraId="7F4C0AAA" w14:textId="37A4AEC5" w:rsidR="0046258E" w:rsidRPr="004B6342" w:rsidRDefault="7C472B85" w:rsidP="0012728D">
          <w:pPr>
            <w:pStyle w:val="Alatunniste"/>
          </w:pPr>
          <w:r>
            <w:rPr>
              <w:lang w:bidi="sv-FI"/>
            </w:rPr>
            <w:t>Tfn</w:t>
          </w:r>
        </w:p>
      </w:tc>
      <w:tc>
        <w:tcPr>
          <w:tcW w:w="1418" w:type="dxa"/>
        </w:tcPr>
        <w:p w14:paraId="47489FB1" w14:textId="77777777" w:rsidR="0046258E" w:rsidRPr="004B6342" w:rsidRDefault="0046258E" w:rsidP="002A1D0D">
          <w:pPr>
            <w:pStyle w:val="Alatunniste"/>
            <w:rPr>
              <w:szCs w:val="18"/>
            </w:rPr>
          </w:pPr>
          <w:r w:rsidRPr="004B6342">
            <w:rPr>
              <w:szCs w:val="18"/>
              <w:lang w:bidi="sv-FI"/>
            </w:rPr>
            <w:t>029 533 7000</w:t>
          </w:r>
        </w:p>
      </w:tc>
      <w:tc>
        <w:tcPr>
          <w:tcW w:w="2398" w:type="dxa"/>
        </w:tcPr>
        <w:p w14:paraId="0779CA48" w14:textId="0119455B" w:rsidR="0046258E" w:rsidRPr="004B6342" w:rsidRDefault="7C472B85" w:rsidP="002A1D0D">
          <w:pPr>
            <w:pStyle w:val="Alatunniste"/>
          </w:pPr>
          <w:r>
            <w:rPr>
              <w:lang w:bidi="sv-FI"/>
            </w:rPr>
            <w:t>kirjaamo@kansallisarkisto.fi</w:t>
          </w:r>
        </w:p>
      </w:tc>
    </w:tr>
    <w:tr w:rsidR="0046258E" w:rsidRPr="004B6342" w14:paraId="3A32890D" w14:textId="77777777" w:rsidTr="00895943">
      <w:tc>
        <w:tcPr>
          <w:tcW w:w="1709" w:type="dxa"/>
        </w:tcPr>
        <w:p w14:paraId="0CA20F57" w14:textId="77777777" w:rsidR="0046258E" w:rsidRPr="004B6342" w:rsidRDefault="0046258E" w:rsidP="002A1D0D">
          <w:pPr>
            <w:pStyle w:val="Alatunniste"/>
            <w:rPr>
              <w:b/>
              <w:szCs w:val="18"/>
            </w:rPr>
          </w:pPr>
          <w:r w:rsidRPr="004B6342">
            <w:rPr>
              <w:b/>
              <w:szCs w:val="18"/>
              <w:lang w:bidi="sv-FI"/>
            </w:rPr>
            <w:t>Riksarkivet</w:t>
          </w:r>
        </w:p>
      </w:tc>
      <w:tc>
        <w:tcPr>
          <w:tcW w:w="1574" w:type="dxa"/>
        </w:tcPr>
        <w:p w14:paraId="5C3EC7B5" w14:textId="77777777" w:rsidR="0046258E" w:rsidRPr="004B6342" w:rsidRDefault="0046258E" w:rsidP="002A1D0D">
          <w:pPr>
            <w:pStyle w:val="Alatunniste"/>
            <w:rPr>
              <w:szCs w:val="18"/>
            </w:rPr>
          </w:pPr>
          <w:r w:rsidRPr="004B6342">
            <w:rPr>
              <w:szCs w:val="18"/>
              <w:lang w:bidi="sv-FI"/>
            </w:rPr>
            <w:t>Fredsgatan 17</w:t>
          </w:r>
        </w:p>
      </w:tc>
      <w:tc>
        <w:tcPr>
          <w:tcW w:w="2529" w:type="dxa"/>
        </w:tcPr>
        <w:p w14:paraId="1DBF1BB6" w14:textId="44E59DD2" w:rsidR="0046258E" w:rsidRPr="004B6342" w:rsidRDefault="7C472B85" w:rsidP="002A1D0D">
          <w:pPr>
            <w:pStyle w:val="Alatunniste"/>
          </w:pPr>
          <w:r>
            <w:rPr>
              <w:lang w:bidi="sv-FI"/>
            </w:rPr>
            <w:t>PB 258, 00171 Helsingfors</w:t>
          </w:r>
        </w:p>
      </w:tc>
      <w:tc>
        <w:tcPr>
          <w:tcW w:w="717" w:type="dxa"/>
        </w:tcPr>
        <w:p w14:paraId="52AE9054" w14:textId="4FEAEE2E" w:rsidR="0046258E" w:rsidRPr="004B6342" w:rsidRDefault="7C472B85" w:rsidP="7C472B85">
          <w:pPr>
            <w:pStyle w:val="Alatunniste"/>
            <w:rPr>
              <w:szCs w:val="18"/>
            </w:rPr>
          </w:pPr>
          <w:r>
            <w:rPr>
              <w:lang w:bidi="sv-FI"/>
            </w:rPr>
            <w:t>Tfn</w:t>
          </w:r>
        </w:p>
      </w:tc>
      <w:tc>
        <w:tcPr>
          <w:tcW w:w="1418" w:type="dxa"/>
        </w:tcPr>
        <w:p w14:paraId="132FD355" w14:textId="6C2B12C4" w:rsidR="0046258E" w:rsidRPr="004B6342" w:rsidRDefault="0046258E" w:rsidP="7C472B85">
          <w:pPr>
            <w:pStyle w:val="Alatunniste"/>
          </w:pPr>
        </w:p>
      </w:tc>
      <w:tc>
        <w:tcPr>
          <w:tcW w:w="2398" w:type="dxa"/>
        </w:tcPr>
        <w:p w14:paraId="04354C28" w14:textId="5D528924" w:rsidR="0046258E" w:rsidRPr="004B6342" w:rsidRDefault="7C472B85" w:rsidP="002A1D0D">
          <w:pPr>
            <w:pStyle w:val="Alatunniste"/>
          </w:pPr>
          <w:r>
            <w:rPr>
              <w:lang w:bidi="sv-FI"/>
            </w:rPr>
            <w:t>kansallisarkisto.fi</w:t>
          </w:r>
        </w:p>
      </w:tc>
    </w:tr>
  </w:tbl>
  <w:p w14:paraId="4101652C" w14:textId="77777777" w:rsidR="0046258E" w:rsidRPr="00442D8F" w:rsidRDefault="0046258E" w:rsidP="0046258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796E0" w14:textId="77777777" w:rsidR="00F05FAF" w:rsidRDefault="00F05FAF" w:rsidP="0046258E">
      <w:pPr>
        <w:spacing w:after="0" w:line="240" w:lineRule="auto"/>
      </w:pPr>
      <w:r>
        <w:separator/>
      </w:r>
    </w:p>
  </w:footnote>
  <w:footnote w:type="continuationSeparator" w:id="0">
    <w:p w14:paraId="454C99D4" w14:textId="77777777" w:rsidR="00F05FAF" w:rsidRDefault="00F05FAF" w:rsidP="0046258E">
      <w:pPr>
        <w:spacing w:after="0" w:line="240" w:lineRule="auto"/>
      </w:pPr>
      <w:r>
        <w:continuationSeparator/>
      </w:r>
    </w:p>
  </w:footnote>
  <w:footnote w:type="continuationNotice" w:id="1">
    <w:p w14:paraId="35F3359D" w14:textId="77777777" w:rsidR="00F05FAF" w:rsidRDefault="00F05F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72E9435F" w14:textId="77777777" w:rsidR="00116394" w:rsidRPr="00116394" w:rsidRDefault="00116394" w:rsidP="00116394">
        <w:pPr>
          <w:pStyle w:val="Yltunniste"/>
          <w:jc w:val="right"/>
          <w:rPr>
            <w:sz w:val="20"/>
            <w:szCs w:val="20"/>
          </w:rPr>
        </w:pPr>
        <w:r w:rsidRPr="00116394">
          <w:rPr>
            <w:sz w:val="20"/>
            <w:szCs w:val="20"/>
            <w:lang w:bidi="sv-FI"/>
          </w:rPr>
          <w:t xml:space="preserve">Sida </w:t>
        </w:r>
        <w:r w:rsidRPr="00116394">
          <w:rPr>
            <w:sz w:val="20"/>
            <w:szCs w:val="20"/>
            <w:lang w:bidi="sv-FI"/>
          </w:rPr>
          <w:fldChar w:fldCharType="begin"/>
        </w:r>
        <w:r w:rsidRPr="00116394">
          <w:rPr>
            <w:sz w:val="20"/>
            <w:szCs w:val="20"/>
            <w:lang w:bidi="sv-FI"/>
          </w:rPr>
          <w:instrText>PAGE</w:instrText>
        </w:r>
        <w:r w:rsidRPr="00116394">
          <w:rPr>
            <w:sz w:val="20"/>
            <w:szCs w:val="20"/>
            <w:lang w:bidi="sv-FI"/>
          </w:rPr>
          <w:fldChar w:fldCharType="separate"/>
        </w:r>
        <w:r w:rsidRPr="00116394">
          <w:rPr>
            <w:sz w:val="20"/>
            <w:szCs w:val="20"/>
            <w:lang w:bidi="sv-FI"/>
          </w:rPr>
          <w:t>1</w:t>
        </w:r>
        <w:r w:rsidRPr="00116394">
          <w:rPr>
            <w:sz w:val="20"/>
            <w:szCs w:val="20"/>
            <w:lang w:bidi="sv-FI"/>
          </w:rPr>
          <w:fldChar w:fldCharType="end"/>
        </w:r>
        <w:r w:rsidRPr="00116394">
          <w:rPr>
            <w:sz w:val="20"/>
            <w:szCs w:val="20"/>
            <w:lang w:bidi="sv-FI"/>
          </w:rPr>
          <w:t xml:space="preserve"> / </w:t>
        </w:r>
        <w:r w:rsidRPr="00116394">
          <w:rPr>
            <w:sz w:val="20"/>
            <w:szCs w:val="20"/>
            <w:lang w:bidi="sv-FI"/>
          </w:rPr>
          <w:fldChar w:fldCharType="begin"/>
        </w:r>
        <w:r w:rsidRPr="00116394">
          <w:rPr>
            <w:sz w:val="20"/>
            <w:szCs w:val="20"/>
            <w:lang w:bidi="sv-FI"/>
          </w:rPr>
          <w:instrText>NUMPAGES</w:instrText>
        </w:r>
        <w:r w:rsidRPr="00116394">
          <w:rPr>
            <w:sz w:val="20"/>
            <w:szCs w:val="20"/>
            <w:lang w:bidi="sv-FI"/>
          </w:rPr>
          <w:fldChar w:fldCharType="separate"/>
        </w:r>
        <w:r w:rsidRPr="00116394">
          <w:rPr>
            <w:sz w:val="20"/>
            <w:szCs w:val="20"/>
            <w:lang w:bidi="sv-FI"/>
          </w:rPr>
          <w:t>6</w:t>
        </w:r>
        <w:r w:rsidRPr="00116394">
          <w:rPr>
            <w:sz w:val="20"/>
            <w:szCs w:val="20"/>
            <w:lang w:bidi="sv-FI"/>
          </w:rPr>
          <w:fldChar w:fldCharType="end"/>
        </w:r>
      </w:p>
      <w:p w14:paraId="04D4DC15" w14:textId="3A6D7C47" w:rsidR="00116394" w:rsidRPr="00116394" w:rsidRDefault="00116394" w:rsidP="0037082A">
        <w:pPr>
          <w:pStyle w:val="Yltunniste"/>
          <w:tabs>
            <w:tab w:val="clear" w:pos="4819"/>
            <w:tab w:val="left" w:pos="4536"/>
            <w:tab w:val="center" w:pos="4820"/>
          </w:tabs>
        </w:pPr>
        <w:r w:rsidRPr="00116394">
          <w:rPr>
            <w:noProof/>
            <w:lang w:bidi="sv-FI"/>
          </w:rPr>
          <w:drawing>
            <wp:inline distT="0" distB="0" distL="0" distR="0" wp14:anchorId="12EC4798" wp14:editId="0D833DD5">
              <wp:extent cx="1828328" cy="850900"/>
              <wp:effectExtent l="0" t="0" r="0" b="0"/>
              <wp:docPr id="2020986858" name="Kuva 2020986858" descr="Kuva, joka sisältää kohteen musta, pimeys  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86858" name="Kuva 1" descr="Kuva, joka sisältää kohteen musta, pimeys  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42973" cy="857716"/>
                      </a:xfrm>
                      <a:prstGeom prst="rect">
                        <a:avLst/>
                      </a:prstGeom>
                    </pic:spPr>
                  </pic:pic>
                </a:graphicData>
              </a:graphic>
            </wp:inline>
          </w:drawing>
        </w:r>
        <w:r w:rsidRPr="00116394">
          <w:rPr>
            <w:lang w:bidi="sv-FI"/>
          </w:rPr>
          <w:tab/>
          <w:t>BESLUT</w:t>
        </w:r>
      </w:p>
      <w:p w14:paraId="750BB3B8" w14:textId="4BB2D209" w:rsidR="00116394" w:rsidRPr="00116394" w:rsidRDefault="00912D9C" w:rsidP="0037082A">
        <w:pPr>
          <w:spacing w:line="240" w:lineRule="auto"/>
          <w:ind w:left="4678" w:hanging="141"/>
        </w:pPr>
        <w:r>
          <w:rPr>
            <w:lang w:bidi="sv-FI"/>
          </w:rPr>
          <w:t>11.6.2025</w:t>
        </w:r>
        <w:r>
          <w:rPr>
            <w:lang w:bidi="sv-FI"/>
          </w:rPr>
          <w:tab/>
          <w:t xml:space="preserve">                     KA/</w:t>
        </w:r>
        <w:proofErr w:type="gramStart"/>
        <w:r>
          <w:rPr>
            <w:lang w:bidi="sv-FI"/>
          </w:rPr>
          <w:t>13183</w:t>
        </w:r>
        <w:proofErr w:type="gramEnd"/>
        <w:r>
          <w:rPr>
            <w:lang w:bidi="sv-FI"/>
          </w:rPr>
          <w:t>/28.02.01/2024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BE5F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7C10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E6AF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3CAF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6E03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ECB8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18D5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2FF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78B36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FCEC1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024F4"/>
    <w:multiLevelType w:val="hybridMultilevel"/>
    <w:tmpl w:val="E3EEB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AC60355"/>
    <w:multiLevelType w:val="hybridMultilevel"/>
    <w:tmpl w:val="1C265A64"/>
    <w:lvl w:ilvl="0" w:tplc="1F5463D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0E4B7B87"/>
    <w:multiLevelType w:val="hybridMultilevel"/>
    <w:tmpl w:val="0344AD18"/>
    <w:lvl w:ilvl="0" w:tplc="7CA2F860">
      <w:start w:val="15"/>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A5C6272"/>
    <w:multiLevelType w:val="hybridMultilevel"/>
    <w:tmpl w:val="EDFA28E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D9F16EB"/>
    <w:multiLevelType w:val="hybridMultilevel"/>
    <w:tmpl w:val="D6AE51FA"/>
    <w:lvl w:ilvl="0" w:tplc="16947EA4">
      <w:start w:val="22"/>
      <w:numFmt w:val="bullet"/>
      <w:lvlText w:val="-"/>
      <w:lvlJc w:val="left"/>
      <w:pPr>
        <w:ind w:left="927" w:hanging="360"/>
      </w:pPr>
      <w:rPr>
        <w:rFonts w:ascii="Calibri" w:eastAsia="Times New Roman" w:hAnsi="Calibri" w:cs="Times New Roman" w:hint="default"/>
      </w:rPr>
    </w:lvl>
    <w:lvl w:ilvl="1" w:tplc="040B0003">
      <w:start w:val="1"/>
      <w:numFmt w:val="bullet"/>
      <w:lvlText w:val="o"/>
      <w:lvlJc w:val="left"/>
      <w:pPr>
        <w:ind w:left="1647" w:hanging="360"/>
      </w:pPr>
      <w:rPr>
        <w:rFonts w:ascii="Courier New" w:hAnsi="Courier New" w:cs="Courier New" w:hint="default"/>
      </w:rPr>
    </w:lvl>
    <w:lvl w:ilvl="2" w:tplc="040B0005">
      <w:start w:val="1"/>
      <w:numFmt w:val="bullet"/>
      <w:lvlText w:val=""/>
      <w:lvlJc w:val="left"/>
      <w:pPr>
        <w:ind w:left="2367" w:hanging="360"/>
      </w:pPr>
      <w:rPr>
        <w:rFonts w:ascii="Wingdings" w:hAnsi="Wingdings" w:hint="default"/>
      </w:rPr>
    </w:lvl>
    <w:lvl w:ilvl="3" w:tplc="040B000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5" w15:restartNumberingAfterBreak="0">
    <w:nsid w:val="1DB55BA3"/>
    <w:multiLevelType w:val="hybridMultilevel"/>
    <w:tmpl w:val="4A04E998"/>
    <w:lvl w:ilvl="0" w:tplc="16F29B38">
      <w:start w:val="23"/>
      <w:numFmt w:val="bullet"/>
      <w:lvlText w:val="-"/>
      <w:lvlJc w:val="left"/>
      <w:pPr>
        <w:ind w:left="720" w:hanging="360"/>
      </w:pPr>
      <w:rPr>
        <w:rFonts w:ascii="Segoe UI" w:eastAsiaTheme="minorHAnsi" w:hAnsi="Segoe UI" w:cs="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DFF7AE5"/>
    <w:multiLevelType w:val="hybridMultilevel"/>
    <w:tmpl w:val="C9F2EB7A"/>
    <w:lvl w:ilvl="0" w:tplc="1BCA92AC">
      <w:start w:val="1"/>
      <w:numFmt w:val="decimal"/>
      <w:pStyle w:val="Numeroitulista"/>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7" w15:restartNumberingAfterBreak="0">
    <w:nsid w:val="37520AD3"/>
    <w:multiLevelType w:val="hybridMultilevel"/>
    <w:tmpl w:val="C3B6C506"/>
    <w:lvl w:ilvl="0" w:tplc="1F5463D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A9179C4"/>
    <w:multiLevelType w:val="hybridMultilevel"/>
    <w:tmpl w:val="F28CA2D2"/>
    <w:lvl w:ilvl="0" w:tplc="1F5463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5B74FA"/>
    <w:multiLevelType w:val="hybridMultilevel"/>
    <w:tmpl w:val="9E6AE51E"/>
    <w:lvl w:ilvl="0" w:tplc="3B1E607E">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0" w15:restartNumberingAfterBreak="0">
    <w:nsid w:val="3EFF7721"/>
    <w:multiLevelType w:val="hybridMultilevel"/>
    <w:tmpl w:val="DED6485A"/>
    <w:lvl w:ilvl="0" w:tplc="1F5463D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FF76F1E"/>
    <w:multiLevelType w:val="hybridMultilevel"/>
    <w:tmpl w:val="E8A6D1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0905D8A"/>
    <w:multiLevelType w:val="hybridMultilevel"/>
    <w:tmpl w:val="64BE5794"/>
    <w:lvl w:ilvl="0" w:tplc="1F5463D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89348FA"/>
    <w:multiLevelType w:val="hybridMultilevel"/>
    <w:tmpl w:val="99C22DFC"/>
    <w:lvl w:ilvl="0" w:tplc="792C12CC">
      <w:numFmt w:val="bullet"/>
      <w:lvlText w:val="-"/>
      <w:lvlJc w:val="left"/>
      <w:pPr>
        <w:ind w:left="720" w:hanging="360"/>
      </w:pPr>
      <w:rPr>
        <w:rFonts w:ascii="Calibri" w:eastAsiaTheme="minorHAnsi" w:hAnsi="Calibri" w:cstheme="minorHAns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9F94BB9"/>
    <w:multiLevelType w:val="hybridMultilevel"/>
    <w:tmpl w:val="22A098E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5" w15:restartNumberingAfterBreak="0">
    <w:nsid w:val="707D4443"/>
    <w:multiLevelType w:val="hybridMultilevel"/>
    <w:tmpl w:val="711E2754"/>
    <w:lvl w:ilvl="0" w:tplc="333260BA">
      <w:start w:val="1"/>
      <w:numFmt w:val="bullet"/>
      <w:pStyle w:val="Luettelokappale"/>
      <w:lvlText w:val=""/>
      <w:lvlJc w:val="left"/>
      <w:pPr>
        <w:ind w:left="-56" w:hanging="360"/>
      </w:pPr>
      <w:rPr>
        <w:rFonts w:ascii="Symbol" w:hAnsi="Symbol" w:hint="default"/>
      </w:rPr>
    </w:lvl>
    <w:lvl w:ilvl="1" w:tplc="040B0003" w:tentative="1">
      <w:start w:val="1"/>
      <w:numFmt w:val="bullet"/>
      <w:lvlText w:val="o"/>
      <w:lvlJc w:val="left"/>
      <w:pPr>
        <w:ind w:left="664" w:hanging="360"/>
      </w:pPr>
      <w:rPr>
        <w:rFonts w:ascii="Courier New" w:hAnsi="Courier New" w:cs="Courier New" w:hint="default"/>
      </w:rPr>
    </w:lvl>
    <w:lvl w:ilvl="2" w:tplc="040B0005" w:tentative="1">
      <w:start w:val="1"/>
      <w:numFmt w:val="bullet"/>
      <w:lvlText w:val=""/>
      <w:lvlJc w:val="left"/>
      <w:pPr>
        <w:ind w:left="1384" w:hanging="360"/>
      </w:pPr>
      <w:rPr>
        <w:rFonts w:ascii="Wingdings" w:hAnsi="Wingdings" w:hint="default"/>
      </w:rPr>
    </w:lvl>
    <w:lvl w:ilvl="3" w:tplc="040B0001" w:tentative="1">
      <w:start w:val="1"/>
      <w:numFmt w:val="bullet"/>
      <w:lvlText w:val=""/>
      <w:lvlJc w:val="left"/>
      <w:pPr>
        <w:ind w:left="2104" w:hanging="360"/>
      </w:pPr>
      <w:rPr>
        <w:rFonts w:ascii="Symbol" w:hAnsi="Symbol" w:hint="default"/>
      </w:rPr>
    </w:lvl>
    <w:lvl w:ilvl="4" w:tplc="040B0003" w:tentative="1">
      <w:start w:val="1"/>
      <w:numFmt w:val="bullet"/>
      <w:lvlText w:val="o"/>
      <w:lvlJc w:val="left"/>
      <w:pPr>
        <w:ind w:left="2824" w:hanging="360"/>
      </w:pPr>
      <w:rPr>
        <w:rFonts w:ascii="Courier New" w:hAnsi="Courier New" w:cs="Courier New" w:hint="default"/>
      </w:rPr>
    </w:lvl>
    <w:lvl w:ilvl="5" w:tplc="040B0005" w:tentative="1">
      <w:start w:val="1"/>
      <w:numFmt w:val="bullet"/>
      <w:lvlText w:val=""/>
      <w:lvlJc w:val="left"/>
      <w:pPr>
        <w:ind w:left="3544" w:hanging="360"/>
      </w:pPr>
      <w:rPr>
        <w:rFonts w:ascii="Wingdings" w:hAnsi="Wingdings" w:hint="default"/>
      </w:rPr>
    </w:lvl>
    <w:lvl w:ilvl="6" w:tplc="040B0001" w:tentative="1">
      <w:start w:val="1"/>
      <w:numFmt w:val="bullet"/>
      <w:lvlText w:val=""/>
      <w:lvlJc w:val="left"/>
      <w:pPr>
        <w:ind w:left="4264" w:hanging="360"/>
      </w:pPr>
      <w:rPr>
        <w:rFonts w:ascii="Symbol" w:hAnsi="Symbol" w:hint="default"/>
      </w:rPr>
    </w:lvl>
    <w:lvl w:ilvl="7" w:tplc="040B0003" w:tentative="1">
      <w:start w:val="1"/>
      <w:numFmt w:val="bullet"/>
      <w:lvlText w:val="o"/>
      <w:lvlJc w:val="left"/>
      <w:pPr>
        <w:ind w:left="4984" w:hanging="360"/>
      </w:pPr>
      <w:rPr>
        <w:rFonts w:ascii="Courier New" w:hAnsi="Courier New" w:cs="Courier New" w:hint="default"/>
      </w:rPr>
    </w:lvl>
    <w:lvl w:ilvl="8" w:tplc="040B0005" w:tentative="1">
      <w:start w:val="1"/>
      <w:numFmt w:val="bullet"/>
      <w:lvlText w:val=""/>
      <w:lvlJc w:val="left"/>
      <w:pPr>
        <w:ind w:left="5704" w:hanging="360"/>
      </w:pPr>
      <w:rPr>
        <w:rFonts w:ascii="Wingdings" w:hAnsi="Wingdings" w:hint="default"/>
      </w:rPr>
    </w:lvl>
  </w:abstractNum>
  <w:num w:numId="1" w16cid:durableId="1395738486">
    <w:abstractNumId w:val="8"/>
  </w:num>
  <w:num w:numId="2" w16cid:durableId="1826386780">
    <w:abstractNumId w:val="25"/>
  </w:num>
  <w:num w:numId="3" w16cid:durableId="2147158411">
    <w:abstractNumId w:val="16"/>
  </w:num>
  <w:num w:numId="4" w16cid:durableId="1382679783">
    <w:abstractNumId w:val="9"/>
  </w:num>
  <w:num w:numId="5" w16cid:durableId="1368870506">
    <w:abstractNumId w:val="7"/>
  </w:num>
  <w:num w:numId="6" w16cid:durableId="20861040">
    <w:abstractNumId w:val="6"/>
  </w:num>
  <w:num w:numId="7" w16cid:durableId="1775857540">
    <w:abstractNumId w:val="5"/>
  </w:num>
  <w:num w:numId="8" w16cid:durableId="813065847">
    <w:abstractNumId w:val="4"/>
  </w:num>
  <w:num w:numId="9" w16cid:durableId="1461994570">
    <w:abstractNumId w:val="3"/>
  </w:num>
  <w:num w:numId="10" w16cid:durableId="351146932">
    <w:abstractNumId w:val="2"/>
  </w:num>
  <w:num w:numId="11" w16cid:durableId="1764648926">
    <w:abstractNumId w:val="1"/>
  </w:num>
  <w:num w:numId="12" w16cid:durableId="1512914268">
    <w:abstractNumId w:val="0"/>
  </w:num>
  <w:num w:numId="13" w16cid:durableId="1797409641">
    <w:abstractNumId w:val="19"/>
  </w:num>
  <w:num w:numId="14" w16cid:durableId="2004164421">
    <w:abstractNumId w:val="23"/>
  </w:num>
  <w:num w:numId="15" w16cid:durableId="655651546">
    <w:abstractNumId w:val="14"/>
  </w:num>
  <w:num w:numId="16" w16cid:durableId="241915243">
    <w:abstractNumId w:val="15"/>
  </w:num>
  <w:num w:numId="17" w16cid:durableId="35082666">
    <w:abstractNumId w:val="21"/>
  </w:num>
  <w:num w:numId="18" w16cid:durableId="1234926805">
    <w:abstractNumId w:val="13"/>
  </w:num>
  <w:num w:numId="19" w16cid:durableId="2104449850">
    <w:abstractNumId w:val="10"/>
  </w:num>
  <w:num w:numId="20" w16cid:durableId="1139422810">
    <w:abstractNumId w:val="24"/>
  </w:num>
  <w:num w:numId="21" w16cid:durableId="521163857">
    <w:abstractNumId w:val="12"/>
  </w:num>
  <w:num w:numId="22" w16cid:durableId="98792326">
    <w:abstractNumId w:val="22"/>
  </w:num>
  <w:num w:numId="23" w16cid:durableId="1343126691">
    <w:abstractNumId w:val="20"/>
  </w:num>
  <w:num w:numId="24" w16cid:durableId="1822845898">
    <w:abstractNumId w:val="11"/>
  </w:num>
  <w:num w:numId="25" w16cid:durableId="735976184">
    <w:abstractNumId w:val="18"/>
  </w:num>
  <w:num w:numId="26" w16cid:durableId="2253844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2"/>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8E"/>
    <w:rsid w:val="000002A8"/>
    <w:rsid w:val="0000468A"/>
    <w:rsid w:val="0000471E"/>
    <w:rsid w:val="00012A3D"/>
    <w:rsid w:val="0002384C"/>
    <w:rsid w:val="0004253E"/>
    <w:rsid w:val="00042CA4"/>
    <w:rsid w:val="0005437B"/>
    <w:rsid w:val="00054CCC"/>
    <w:rsid w:val="0005500A"/>
    <w:rsid w:val="00062EB6"/>
    <w:rsid w:val="000651C3"/>
    <w:rsid w:val="00065921"/>
    <w:rsid w:val="00070942"/>
    <w:rsid w:val="000756B9"/>
    <w:rsid w:val="00077860"/>
    <w:rsid w:val="0008201B"/>
    <w:rsid w:val="00091A54"/>
    <w:rsid w:val="00092383"/>
    <w:rsid w:val="00092A60"/>
    <w:rsid w:val="00094DDB"/>
    <w:rsid w:val="00095350"/>
    <w:rsid w:val="0009719B"/>
    <w:rsid w:val="000A6B72"/>
    <w:rsid w:val="000B7E01"/>
    <w:rsid w:val="000C2D3D"/>
    <w:rsid w:val="000C30B0"/>
    <w:rsid w:val="000C72EA"/>
    <w:rsid w:val="000C7C28"/>
    <w:rsid w:val="000D1DBB"/>
    <w:rsid w:val="000E001F"/>
    <w:rsid w:val="000E0BA9"/>
    <w:rsid w:val="000E1690"/>
    <w:rsid w:val="000E4258"/>
    <w:rsid w:val="000E6D8F"/>
    <w:rsid w:val="000F2DF5"/>
    <w:rsid w:val="000F31BB"/>
    <w:rsid w:val="00100A79"/>
    <w:rsid w:val="0010393E"/>
    <w:rsid w:val="00104F9F"/>
    <w:rsid w:val="00110CC8"/>
    <w:rsid w:val="00114CD6"/>
    <w:rsid w:val="00116394"/>
    <w:rsid w:val="00122738"/>
    <w:rsid w:val="001238ED"/>
    <w:rsid w:val="00123CD5"/>
    <w:rsid w:val="00123DC0"/>
    <w:rsid w:val="001240E7"/>
    <w:rsid w:val="00124B99"/>
    <w:rsid w:val="0012728D"/>
    <w:rsid w:val="001319ED"/>
    <w:rsid w:val="00141482"/>
    <w:rsid w:val="00142524"/>
    <w:rsid w:val="0014470D"/>
    <w:rsid w:val="00145773"/>
    <w:rsid w:val="001475A5"/>
    <w:rsid w:val="00150968"/>
    <w:rsid w:val="001528B5"/>
    <w:rsid w:val="00152F7C"/>
    <w:rsid w:val="0015552F"/>
    <w:rsid w:val="00160733"/>
    <w:rsid w:val="00160916"/>
    <w:rsid w:val="00160B83"/>
    <w:rsid w:val="00160C61"/>
    <w:rsid w:val="0016541A"/>
    <w:rsid w:val="00166160"/>
    <w:rsid w:val="00167928"/>
    <w:rsid w:val="0017229C"/>
    <w:rsid w:val="001753A2"/>
    <w:rsid w:val="0017639D"/>
    <w:rsid w:val="00185611"/>
    <w:rsid w:val="0019141D"/>
    <w:rsid w:val="00193A67"/>
    <w:rsid w:val="00195307"/>
    <w:rsid w:val="001B02AE"/>
    <w:rsid w:val="001B5E2F"/>
    <w:rsid w:val="001C331D"/>
    <w:rsid w:val="001C38BB"/>
    <w:rsid w:val="001D01F8"/>
    <w:rsid w:val="001D0ED0"/>
    <w:rsid w:val="001D3741"/>
    <w:rsid w:val="001D3E40"/>
    <w:rsid w:val="001D47EE"/>
    <w:rsid w:val="001D52A9"/>
    <w:rsid w:val="001D6272"/>
    <w:rsid w:val="001D730B"/>
    <w:rsid w:val="001D732F"/>
    <w:rsid w:val="001D7A21"/>
    <w:rsid w:val="001E4E01"/>
    <w:rsid w:val="001E5146"/>
    <w:rsid w:val="001F6004"/>
    <w:rsid w:val="00203D69"/>
    <w:rsid w:val="002068FE"/>
    <w:rsid w:val="0021278B"/>
    <w:rsid w:val="00212C4D"/>
    <w:rsid w:val="00214353"/>
    <w:rsid w:val="00216C13"/>
    <w:rsid w:val="0021717D"/>
    <w:rsid w:val="002235FE"/>
    <w:rsid w:val="00232F2C"/>
    <w:rsid w:val="002355DD"/>
    <w:rsid w:val="00237D32"/>
    <w:rsid w:val="00250A88"/>
    <w:rsid w:val="0025157D"/>
    <w:rsid w:val="002520FB"/>
    <w:rsid w:val="0025346F"/>
    <w:rsid w:val="0026135A"/>
    <w:rsid w:val="00265166"/>
    <w:rsid w:val="00270A40"/>
    <w:rsid w:val="0027111C"/>
    <w:rsid w:val="002755CE"/>
    <w:rsid w:val="00275DD7"/>
    <w:rsid w:val="00276025"/>
    <w:rsid w:val="00282C7F"/>
    <w:rsid w:val="00285752"/>
    <w:rsid w:val="00287659"/>
    <w:rsid w:val="002972DD"/>
    <w:rsid w:val="002A04BB"/>
    <w:rsid w:val="002A1D0D"/>
    <w:rsid w:val="002A3072"/>
    <w:rsid w:val="002A3539"/>
    <w:rsid w:val="002A4197"/>
    <w:rsid w:val="002A7501"/>
    <w:rsid w:val="002B047F"/>
    <w:rsid w:val="002B27FF"/>
    <w:rsid w:val="002C2114"/>
    <w:rsid w:val="002C5857"/>
    <w:rsid w:val="002C6882"/>
    <w:rsid w:val="002C7CA0"/>
    <w:rsid w:val="002C7D22"/>
    <w:rsid w:val="002D3102"/>
    <w:rsid w:val="002D3D92"/>
    <w:rsid w:val="002D42AB"/>
    <w:rsid w:val="002E3C2E"/>
    <w:rsid w:val="002E414C"/>
    <w:rsid w:val="002F324A"/>
    <w:rsid w:val="00300ECF"/>
    <w:rsid w:val="00304F50"/>
    <w:rsid w:val="00312B1D"/>
    <w:rsid w:val="00323742"/>
    <w:rsid w:val="00332931"/>
    <w:rsid w:val="003401E4"/>
    <w:rsid w:val="0034104B"/>
    <w:rsid w:val="00341C8D"/>
    <w:rsid w:val="003436D6"/>
    <w:rsid w:val="00350374"/>
    <w:rsid w:val="00356282"/>
    <w:rsid w:val="00357442"/>
    <w:rsid w:val="003618C4"/>
    <w:rsid w:val="003634D1"/>
    <w:rsid w:val="00363F63"/>
    <w:rsid w:val="0037082A"/>
    <w:rsid w:val="00375287"/>
    <w:rsid w:val="00377A04"/>
    <w:rsid w:val="00377FFD"/>
    <w:rsid w:val="00382575"/>
    <w:rsid w:val="00382EE0"/>
    <w:rsid w:val="003861B4"/>
    <w:rsid w:val="00390456"/>
    <w:rsid w:val="00391319"/>
    <w:rsid w:val="0039315B"/>
    <w:rsid w:val="003A5E13"/>
    <w:rsid w:val="003B5933"/>
    <w:rsid w:val="003B7CF1"/>
    <w:rsid w:val="003C0280"/>
    <w:rsid w:val="003C14DC"/>
    <w:rsid w:val="003C2078"/>
    <w:rsid w:val="003C2216"/>
    <w:rsid w:val="003C3907"/>
    <w:rsid w:val="003C75C9"/>
    <w:rsid w:val="003D5B8C"/>
    <w:rsid w:val="003E2F46"/>
    <w:rsid w:val="003E331E"/>
    <w:rsid w:val="003E697F"/>
    <w:rsid w:val="003F2D6D"/>
    <w:rsid w:val="003F408D"/>
    <w:rsid w:val="003F4FD2"/>
    <w:rsid w:val="004021A9"/>
    <w:rsid w:val="0040350E"/>
    <w:rsid w:val="0041116D"/>
    <w:rsid w:val="00412384"/>
    <w:rsid w:val="00413068"/>
    <w:rsid w:val="004210AD"/>
    <w:rsid w:val="00423A57"/>
    <w:rsid w:val="00426918"/>
    <w:rsid w:val="004270E5"/>
    <w:rsid w:val="004273F5"/>
    <w:rsid w:val="004300EF"/>
    <w:rsid w:val="00431C74"/>
    <w:rsid w:val="00435AA2"/>
    <w:rsid w:val="00436B2E"/>
    <w:rsid w:val="004414BD"/>
    <w:rsid w:val="00445BF4"/>
    <w:rsid w:val="00450109"/>
    <w:rsid w:val="00450FAA"/>
    <w:rsid w:val="004558E8"/>
    <w:rsid w:val="00460433"/>
    <w:rsid w:val="0046258E"/>
    <w:rsid w:val="00462590"/>
    <w:rsid w:val="00462C2E"/>
    <w:rsid w:val="00463BB7"/>
    <w:rsid w:val="00463DC0"/>
    <w:rsid w:val="00464BFC"/>
    <w:rsid w:val="00471769"/>
    <w:rsid w:val="004742C4"/>
    <w:rsid w:val="00483A7F"/>
    <w:rsid w:val="00483C83"/>
    <w:rsid w:val="00485674"/>
    <w:rsid w:val="004864B8"/>
    <w:rsid w:val="00490665"/>
    <w:rsid w:val="0049400B"/>
    <w:rsid w:val="004970F1"/>
    <w:rsid w:val="004B2BC4"/>
    <w:rsid w:val="004B49BD"/>
    <w:rsid w:val="004B4E89"/>
    <w:rsid w:val="004C1332"/>
    <w:rsid w:val="004C31B4"/>
    <w:rsid w:val="004C3721"/>
    <w:rsid w:val="004C7DB8"/>
    <w:rsid w:val="004D6AB9"/>
    <w:rsid w:val="004E2D2F"/>
    <w:rsid w:val="004E7A67"/>
    <w:rsid w:val="004F0858"/>
    <w:rsid w:val="004F1477"/>
    <w:rsid w:val="004F7599"/>
    <w:rsid w:val="00502E4A"/>
    <w:rsid w:val="00505584"/>
    <w:rsid w:val="005062BD"/>
    <w:rsid w:val="00506BF0"/>
    <w:rsid w:val="00506E47"/>
    <w:rsid w:val="005127BD"/>
    <w:rsid w:val="00513F88"/>
    <w:rsid w:val="0051500B"/>
    <w:rsid w:val="00515A00"/>
    <w:rsid w:val="005179B9"/>
    <w:rsid w:val="00535001"/>
    <w:rsid w:val="005361A1"/>
    <w:rsid w:val="0053733B"/>
    <w:rsid w:val="00541337"/>
    <w:rsid w:val="00543AF7"/>
    <w:rsid w:val="00543E78"/>
    <w:rsid w:val="00544108"/>
    <w:rsid w:val="0054477A"/>
    <w:rsid w:val="005449C5"/>
    <w:rsid w:val="00544BCA"/>
    <w:rsid w:val="005475A6"/>
    <w:rsid w:val="0055083F"/>
    <w:rsid w:val="0055223D"/>
    <w:rsid w:val="005556C6"/>
    <w:rsid w:val="00555E31"/>
    <w:rsid w:val="00555F51"/>
    <w:rsid w:val="005569F6"/>
    <w:rsid w:val="00560023"/>
    <w:rsid w:val="00560905"/>
    <w:rsid w:val="00570AED"/>
    <w:rsid w:val="005736C5"/>
    <w:rsid w:val="005750D9"/>
    <w:rsid w:val="00580FC0"/>
    <w:rsid w:val="0058208E"/>
    <w:rsid w:val="005846FC"/>
    <w:rsid w:val="005852AF"/>
    <w:rsid w:val="00585D61"/>
    <w:rsid w:val="0059003E"/>
    <w:rsid w:val="0059268B"/>
    <w:rsid w:val="00593F19"/>
    <w:rsid w:val="0059632C"/>
    <w:rsid w:val="005B226D"/>
    <w:rsid w:val="005B4137"/>
    <w:rsid w:val="005B5657"/>
    <w:rsid w:val="005B5A7A"/>
    <w:rsid w:val="005C34AF"/>
    <w:rsid w:val="005C4015"/>
    <w:rsid w:val="005C4396"/>
    <w:rsid w:val="005C6EA1"/>
    <w:rsid w:val="005D04F3"/>
    <w:rsid w:val="005D418E"/>
    <w:rsid w:val="005D493E"/>
    <w:rsid w:val="005E0EBC"/>
    <w:rsid w:val="005E2B27"/>
    <w:rsid w:val="005E417B"/>
    <w:rsid w:val="005E4AA4"/>
    <w:rsid w:val="005F403B"/>
    <w:rsid w:val="005F594C"/>
    <w:rsid w:val="005F71AE"/>
    <w:rsid w:val="005F7584"/>
    <w:rsid w:val="00600E6A"/>
    <w:rsid w:val="0060134C"/>
    <w:rsid w:val="006030D7"/>
    <w:rsid w:val="00606427"/>
    <w:rsid w:val="00616A98"/>
    <w:rsid w:val="00617D22"/>
    <w:rsid w:val="006205BC"/>
    <w:rsid w:val="006223C8"/>
    <w:rsid w:val="006312F8"/>
    <w:rsid w:val="00632390"/>
    <w:rsid w:val="00633CA8"/>
    <w:rsid w:val="00640480"/>
    <w:rsid w:val="006416CD"/>
    <w:rsid w:val="00641EA2"/>
    <w:rsid w:val="00642B54"/>
    <w:rsid w:val="00643790"/>
    <w:rsid w:val="0064768D"/>
    <w:rsid w:val="006476E9"/>
    <w:rsid w:val="0065609E"/>
    <w:rsid w:val="00656A02"/>
    <w:rsid w:val="006573E9"/>
    <w:rsid w:val="00661EE4"/>
    <w:rsid w:val="00662608"/>
    <w:rsid w:val="00663B93"/>
    <w:rsid w:val="006677D5"/>
    <w:rsid w:val="00667DD4"/>
    <w:rsid w:val="006714CC"/>
    <w:rsid w:val="00671A05"/>
    <w:rsid w:val="0067312A"/>
    <w:rsid w:val="00675A98"/>
    <w:rsid w:val="00676158"/>
    <w:rsid w:val="00677842"/>
    <w:rsid w:val="00683330"/>
    <w:rsid w:val="00685C79"/>
    <w:rsid w:val="00690623"/>
    <w:rsid w:val="00690AFC"/>
    <w:rsid w:val="00695CF7"/>
    <w:rsid w:val="006A0628"/>
    <w:rsid w:val="006A4C70"/>
    <w:rsid w:val="006A7408"/>
    <w:rsid w:val="006A7671"/>
    <w:rsid w:val="006C06E3"/>
    <w:rsid w:val="006C3CD1"/>
    <w:rsid w:val="006C76EF"/>
    <w:rsid w:val="006D09B3"/>
    <w:rsid w:val="006D3A2F"/>
    <w:rsid w:val="006D5A00"/>
    <w:rsid w:val="006D71AE"/>
    <w:rsid w:val="006E6A83"/>
    <w:rsid w:val="006F0BD3"/>
    <w:rsid w:val="006F72A0"/>
    <w:rsid w:val="006F7515"/>
    <w:rsid w:val="006F78F2"/>
    <w:rsid w:val="00702A1C"/>
    <w:rsid w:val="00704495"/>
    <w:rsid w:val="00706910"/>
    <w:rsid w:val="00710283"/>
    <w:rsid w:val="00710FCD"/>
    <w:rsid w:val="0071793C"/>
    <w:rsid w:val="00720D79"/>
    <w:rsid w:val="007214DB"/>
    <w:rsid w:val="00723E52"/>
    <w:rsid w:val="00730842"/>
    <w:rsid w:val="00731341"/>
    <w:rsid w:val="00733532"/>
    <w:rsid w:val="00734C18"/>
    <w:rsid w:val="007370B5"/>
    <w:rsid w:val="00742F6B"/>
    <w:rsid w:val="007455F8"/>
    <w:rsid w:val="00751338"/>
    <w:rsid w:val="00751879"/>
    <w:rsid w:val="00752A92"/>
    <w:rsid w:val="007554A2"/>
    <w:rsid w:val="00756E10"/>
    <w:rsid w:val="0076292A"/>
    <w:rsid w:val="00767486"/>
    <w:rsid w:val="007679E5"/>
    <w:rsid w:val="00771919"/>
    <w:rsid w:val="00773CCC"/>
    <w:rsid w:val="0078775F"/>
    <w:rsid w:val="00792F98"/>
    <w:rsid w:val="00794271"/>
    <w:rsid w:val="0079470A"/>
    <w:rsid w:val="007A0455"/>
    <w:rsid w:val="007A1E59"/>
    <w:rsid w:val="007A236C"/>
    <w:rsid w:val="007A2CA0"/>
    <w:rsid w:val="007A4B5F"/>
    <w:rsid w:val="007A6B99"/>
    <w:rsid w:val="007B0E59"/>
    <w:rsid w:val="007B704F"/>
    <w:rsid w:val="007C2FB8"/>
    <w:rsid w:val="007C4322"/>
    <w:rsid w:val="007D28EE"/>
    <w:rsid w:val="007D5EFC"/>
    <w:rsid w:val="007E0E53"/>
    <w:rsid w:val="007E1F19"/>
    <w:rsid w:val="007E23AC"/>
    <w:rsid w:val="007E2B4A"/>
    <w:rsid w:val="007E4241"/>
    <w:rsid w:val="007F2F03"/>
    <w:rsid w:val="007F3825"/>
    <w:rsid w:val="007F39B6"/>
    <w:rsid w:val="007F7A8A"/>
    <w:rsid w:val="00802A50"/>
    <w:rsid w:val="00806B51"/>
    <w:rsid w:val="008070D3"/>
    <w:rsid w:val="00807692"/>
    <w:rsid w:val="00811E9E"/>
    <w:rsid w:val="00816239"/>
    <w:rsid w:val="00820371"/>
    <w:rsid w:val="00822912"/>
    <w:rsid w:val="0082393B"/>
    <w:rsid w:val="00823A50"/>
    <w:rsid w:val="008260E9"/>
    <w:rsid w:val="00827715"/>
    <w:rsid w:val="008312E6"/>
    <w:rsid w:val="00851A38"/>
    <w:rsid w:val="00854EA2"/>
    <w:rsid w:val="00860DB1"/>
    <w:rsid w:val="00860DF1"/>
    <w:rsid w:val="00862D0C"/>
    <w:rsid w:val="008671D7"/>
    <w:rsid w:val="0086757E"/>
    <w:rsid w:val="0087008B"/>
    <w:rsid w:val="008706E5"/>
    <w:rsid w:val="00874D96"/>
    <w:rsid w:val="00875B91"/>
    <w:rsid w:val="00877311"/>
    <w:rsid w:val="008879DA"/>
    <w:rsid w:val="0089437E"/>
    <w:rsid w:val="00895943"/>
    <w:rsid w:val="00895DBB"/>
    <w:rsid w:val="008A0A97"/>
    <w:rsid w:val="008A1878"/>
    <w:rsid w:val="008A19CA"/>
    <w:rsid w:val="008A236A"/>
    <w:rsid w:val="008A52E3"/>
    <w:rsid w:val="008A71DB"/>
    <w:rsid w:val="008B3202"/>
    <w:rsid w:val="008C1F75"/>
    <w:rsid w:val="008C3B15"/>
    <w:rsid w:val="008C5121"/>
    <w:rsid w:val="008C6344"/>
    <w:rsid w:val="008D091F"/>
    <w:rsid w:val="008D2726"/>
    <w:rsid w:val="008D2DCC"/>
    <w:rsid w:val="008D6469"/>
    <w:rsid w:val="008D6742"/>
    <w:rsid w:val="008E210B"/>
    <w:rsid w:val="008E5507"/>
    <w:rsid w:val="008E550B"/>
    <w:rsid w:val="008E653F"/>
    <w:rsid w:val="008E6A22"/>
    <w:rsid w:val="008E77AA"/>
    <w:rsid w:val="008E7D16"/>
    <w:rsid w:val="008F1A1E"/>
    <w:rsid w:val="008F60A6"/>
    <w:rsid w:val="009026E7"/>
    <w:rsid w:val="00904E64"/>
    <w:rsid w:val="009108C0"/>
    <w:rsid w:val="0091210F"/>
    <w:rsid w:val="009125E2"/>
    <w:rsid w:val="00912B57"/>
    <w:rsid w:val="00912D9C"/>
    <w:rsid w:val="00914C22"/>
    <w:rsid w:val="009156A0"/>
    <w:rsid w:val="0092160A"/>
    <w:rsid w:val="00934029"/>
    <w:rsid w:val="009363C8"/>
    <w:rsid w:val="00945FAB"/>
    <w:rsid w:val="0095071A"/>
    <w:rsid w:val="00950E5A"/>
    <w:rsid w:val="00951757"/>
    <w:rsid w:val="00952D20"/>
    <w:rsid w:val="00953529"/>
    <w:rsid w:val="00956474"/>
    <w:rsid w:val="0096043A"/>
    <w:rsid w:val="0096165E"/>
    <w:rsid w:val="0096211F"/>
    <w:rsid w:val="00963011"/>
    <w:rsid w:val="00964B63"/>
    <w:rsid w:val="00966BE5"/>
    <w:rsid w:val="009721DF"/>
    <w:rsid w:val="00974BA9"/>
    <w:rsid w:val="00976CA4"/>
    <w:rsid w:val="00981AF2"/>
    <w:rsid w:val="009833D5"/>
    <w:rsid w:val="009847A1"/>
    <w:rsid w:val="00984E76"/>
    <w:rsid w:val="00987ACF"/>
    <w:rsid w:val="0099003C"/>
    <w:rsid w:val="00994F1A"/>
    <w:rsid w:val="0099574E"/>
    <w:rsid w:val="009A090E"/>
    <w:rsid w:val="009A31BE"/>
    <w:rsid w:val="009A75EE"/>
    <w:rsid w:val="009B1672"/>
    <w:rsid w:val="009B6B41"/>
    <w:rsid w:val="009B70EA"/>
    <w:rsid w:val="009C00C0"/>
    <w:rsid w:val="009C09D7"/>
    <w:rsid w:val="009C13D3"/>
    <w:rsid w:val="009C1D65"/>
    <w:rsid w:val="009C3334"/>
    <w:rsid w:val="009C4728"/>
    <w:rsid w:val="009C6559"/>
    <w:rsid w:val="009C6979"/>
    <w:rsid w:val="009D03E2"/>
    <w:rsid w:val="009D2344"/>
    <w:rsid w:val="009D4253"/>
    <w:rsid w:val="009D4A8D"/>
    <w:rsid w:val="009E31C6"/>
    <w:rsid w:val="009E754D"/>
    <w:rsid w:val="009F0577"/>
    <w:rsid w:val="009F18BB"/>
    <w:rsid w:val="00A00719"/>
    <w:rsid w:val="00A009F8"/>
    <w:rsid w:val="00A01AD7"/>
    <w:rsid w:val="00A04BF4"/>
    <w:rsid w:val="00A061F3"/>
    <w:rsid w:val="00A06B74"/>
    <w:rsid w:val="00A14CD0"/>
    <w:rsid w:val="00A15E66"/>
    <w:rsid w:val="00A1758D"/>
    <w:rsid w:val="00A22248"/>
    <w:rsid w:val="00A27F12"/>
    <w:rsid w:val="00A3220B"/>
    <w:rsid w:val="00A32E6B"/>
    <w:rsid w:val="00A375EB"/>
    <w:rsid w:val="00A4284D"/>
    <w:rsid w:val="00A457F4"/>
    <w:rsid w:val="00A459F4"/>
    <w:rsid w:val="00A46754"/>
    <w:rsid w:val="00A46880"/>
    <w:rsid w:val="00A5067D"/>
    <w:rsid w:val="00A525FC"/>
    <w:rsid w:val="00A54BE7"/>
    <w:rsid w:val="00A57282"/>
    <w:rsid w:val="00A60BA0"/>
    <w:rsid w:val="00A61FAD"/>
    <w:rsid w:val="00A64F1D"/>
    <w:rsid w:val="00A65F03"/>
    <w:rsid w:val="00A73420"/>
    <w:rsid w:val="00A7460B"/>
    <w:rsid w:val="00A769EA"/>
    <w:rsid w:val="00A81E1B"/>
    <w:rsid w:val="00A821C2"/>
    <w:rsid w:val="00A82A72"/>
    <w:rsid w:val="00A833B3"/>
    <w:rsid w:val="00A83852"/>
    <w:rsid w:val="00A91A39"/>
    <w:rsid w:val="00A92B08"/>
    <w:rsid w:val="00A94060"/>
    <w:rsid w:val="00A94215"/>
    <w:rsid w:val="00A94598"/>
    <w:rsid w:val="00AA229E"/>
    <w:rsid w:val="00AA6AA2"/>
    <w:rsid w:val="00AB12CD"/>
    <w:rsid w:val="00AB7532"/>
    <w:rsid w:val="00AC12CF"/>
    <w:rsid w:val="00AC40FB"/>
    <w:rsid w:val="00AD471F"/>
    <w:rsid w:val="00AD5649"/>
    <w:rsid w:val="00AD66EB"/>
    <w:rsid w:val="00AD7F02"/>
    <w:rsid w:val="00AE5CBE"/>
    <w:rsid w:val="00AE6C44"/>
    <w:rsid w:val="00AE6E04"/>
    <w:rsid w:val="00AF0078"/>
    <w:rsid w:val="00AF03E6"/>
    <w:rsid w:val="00AF2922"/>
    <w:rsid w:val="00AF6DA2"/>
    <w:rsid w:val="00AF6E8C"/>
    <w:rsid w:val="00B05F23"/>
    <w:rsid w:val="00B073B4"/>
    <w:rsid w:val="00B1005B"/>
    <w:rsid w:val="00B11F67"/>
    <w:rsid w:val="00B133FF"/>
    <w:rsid w:val="00B17020"/>
    <w:rsid w:val="00B1703A"/>
    <w:rsid w:val="00B20786"/>
    <w:rsid w:val="00B2221C"/>
    <w:rsid w:val="00B26E46"/>
    <w:rsid w:val="00B26EDC"/>
    <w:rsid w:val="00B30D1F"/>
    <w:rsid w:val="00B33D7D"/>
    <w:rsid w:val="00B3492B"/>
    <w:rsid w:val="00B36DD9"/>
    <w:rsid w:val="00B410C3"/>
    <w:rsid w:val="00B42904"/>
    <w:rsid w:val="00B53D4D"/>
    <w:rsid w:val="00B55C6E"/>
    <w:rsid w:val="00B571B0"/>
    <w:rsid w:val="00B631BE"/>
    <w:rsid w:val="00B662AC"/>
    <w:rsid w:val="00B66C9E"/>
    <w:rsid w:val="00B724FE"/>
    <w:rsid w:val="00B767E4"/>
    <w:rsid w:val="00B7790E"/>
    <w:rsid w:val="00B831E2"/>
    <w:rsid w:val="00B85777"/>
    <w:rsid w:val="00B8591A"/>
    <w:rsid w:val="00B911FE"/>
    <w:rsid w:val="00B9230E"/>
    <w:rsid w:val="00B92EF1"/>
    <w:rsid w:val="00B95B7D"/>
    <w:rsid w:val="00B95CEB"/>
    <w:rsid w:val="00B9715D"/>
    <w:rsid w:val="00BA26EE"/>
    <w:rsid w:val="00BA3A60"/>
    <w:rsid w:val="00BA3F38"/>
    <w:rsid w:val="00BA49B2"/>
    <w:rsid w:val="00BA5DA1"/>
    <w:rsid w:val="00BB73C4"/>
    <w:rsid w:val="00BC09F7"/>
    <w:rsid w:val="00BC5630"/>
    <w:rsid w:val="00BC66C1"/>
    <w:rsid w:val="00BD12E9"/>
    <w:rsid w:val="00BD5BFC"/>
    <w:rsid w:val="00BE603A"/>
    <w:rsid w:val="00BF1F96"/>
    <w:rsid w:val="00BF2EED"/>
    <w:rsid w:val="00BF3467"/>
    <w:rsid w:val="00BF69F8"/>
    <w:rsid w:val="00BF7BC2"/>
    <w:rsid w:val="00C00E05"/>
    <w:rsid w:val="00C0118B"/>
    <w:rsid w:val="00C01E6A"/>
    <w:rsid w:val="00C05113"/>
    <w:rsid w:val="00C0539E"/>
    <w:rsid w:val="00C07FE6"/>
    <w:rsid w:val="00C11171"/>
    <w:rsid w:val="00C14F28"/>
    <w:rsid w:val="00C1631D"/>
    <w:rsid w:val="00C3163B"/>
    <w:rsid w:val="00C32D90"/>
    <w:rsid w:val="00C417CE"/>
    <w:rsid w:val="00C447FA"/>
    <w:rsid w:val="00C467F4"/>
    <w:rsid w:val="00C51607"/>
    <w:rsid w:val="00C527A6"/>
    <w:rsid w:val="00C53F92"/>
    <w:rsid w:val="00C65C4F"/>
    <w:rsid w:val="00C71007"/>
    <w:rsid w:val="00C737F1"/>
    <w:rsid w:val="00C83622"/>
    <w:rsid w:val="00C91C82"/>
    <w:rsid w:val="00C94A9A"/>
    <w:rsid w:val="00C967B4"/>
    <w:rsid w:val="00CA2F32"/>
    <w:rsid w:val="00CA36EC"/>
    <w:rsid w:val="00CB3106"/>
    <w:rsid w:val="00CB586A"/>
    <w:rsid w:val="00CB6BC0"/>
    <w:rsid w:val="00CB725B"/>
    <w:rsid w:val="00CB760F"/>
    <w:rsid w:val="00CC074D"/>
    <w:rsid w:val="00CC690B"/>
    <w:rsid w:val="00CD0BB1"/>
    <w:rsid w:val="00CD0E00"/>
    <w:rsid w:val="00CD6BF3"/>
    <w:rsid w:val="00CE139D"/>
    <w:rsid w:val="00CE3E76"/>
    <w:rsid w:val="00CF34B5"/>
    <w:rsid w:val="00D00AE4"/>
    <w:rsid w:val="00D0322A"/>
    <w:rsid w:val="00D04882"/>
    <w:rsid w:val="00D0507D"/>
    <w:rsid w:val="00D22698"/>
    <w:rsid w:val="00D22D6A"/>
    <w:rsid w:val="00D2528E"/>
    <w:rsid w:val="00D25F7B"/>
    <w:rsid w:val="00D2752E"/>
    <w:rsid w:val="00D27B91"/>
    <w:rsid w:val="00D32EE3"/>
    <w:rsid w:val="00D348E8"/>
    <w:rsid w:val="00D34EE9"/>
    <w:rsid w:val="00D35D93"/>
    <w:rsid w:val="00D40EDB"/>
    <w:rsid w:val="00D464A0"/>
    <w:rsid w:val="00D503E7"/>
    <w:rsid w:val="00D5459E"/>
    <w:rsid w:val="00D5464B"/>
    <w:rsid w:val="00D559A7"/>
    <w:rsid w:val="00D56476"/>
    <w:rsid w:val="00D572B9"/>
    <w:rsid w:val="00D60830"/>
    <w:rsid w:val="00D6101B"/>
    <w:rsid w:val="00D611F8"/>
    <w:rsid w:val="00D63DB0"/>
    <w:rsid w:val="00D64623"/>
    <w:rsid w:val="00D6600C"/>
    <w:rsid w:val="00D676AA"/>
    <w:rsid w:val="00D720D0"/>
    <w:rsid w:val="00D75331"/>
    <w:rsid w:val="00D75C3A"/>
    <w:rsid w:val="00D764D9"/>
    <w:rsid w:val="00D772C5"/>
    <w:rsid w:val="00D91C32"/>
    <w:rsid w:val="00DA361D"/>
    <w:rsid w:val="00DA7195"/>
    <w:rsid w:val="00DB2938"/>
    <w:rsid w:val="00DB2941"/>
    <w:rsid w:val="00DB5399"/>
    <w:rsid w:val="00DC29AD"/>
    <w:rsid w:val="00DC7E1E"/>
    <w:rsid w:val="00DD5AEB"/>
    <w:rsid w:val="00DD6F37"/>
    <w:rsid w:val="00DE1AA9"/>
    <w:rsid w:val="00DE330A"/>
    <w:rsid w:val="00DE3E5C"/>
    <w:rsid w:val="00DF1A4C"/>
    <w:rsid w:val="00DF2210"/>
    <w:rsid w:val="00DF2E75"/>
    <w:rsid w:val="00DF6AA3"/>
    <w:rsid w:val="00E0104C"/>
    <w:rsid w:val="00E0198F"/>
    <w:rsid w:val="00E117C7"/>
    <w:rsid w:val="00E1394C"/>
    <w:rsid w:val="00E2012F"/>
    <w:rsid w:val="00E237CB"/>
    <w:rsid w:val="00E23CD2"/>
    <w:rsid w:val="00E246A6"/>
    <w:rsid w:val="00E27AA1"/>
    <w:rsid w:val="00E33899"/>
    <w:rsid w:val="00E33AD2"/>
    <w:rsid w:val="00E3711C"/>
    <w:rsid w:val="00E37ACA"/>
    <w:rsid w:val="00E405A5"/>
    <w:rsid w:val="00E4062B"/>
    <w:rsid w:val="00E4206D"/>
    <w:rsid w:val="00E4207C"/>
    <w:rsid w:val="00E42313"/>
    <w:rsid w:val="00E424EA"/>
    <w:rsid w:val="00E45D76"/>
    <w:rsid w:val="00E47D50"/>
    <w:rsid w:val="00E5011E"/>
    <w:rsid w:val="00E57935"/>
    <w:rsid w:val="00E607D9"/>
    <w:rsid w:val="00E67035"/>
    <w:rsid w:val="00E73951"/>
    <w:rsid w:val="00E7698E"/>
    <w:rsid w:val="00E8035A"/>
    <w:rsid w:val="00E84BD8"/>
    <w:rsid w:val="00E86414"/>
    <w:rsid w:val="00E878F3"/>
    <w:rsid w:val="00E917AB"/>
    <w:rsid w:val="00E9187E"/>
    <w:rsid w:val="00E957BB"/>
    <w:rsid w:val="00E97988"/>
    <w:rsid w:val="00EA6740"/>
    <w:rsid w:val="00EB0108"/>
    <w:rsid w:val="00EC5B5C"/>
    <w:rsid w:val="00ED30FB"/>
    <w:rsid w:val="00ED732B"/>
    <w:rsid w:val="00ED7E82"/>
    <w:rsid w:val="00EE0418"/>
    <w:rsid w:val="00EE39B9"/>
    <w:rsid w:val="00EE49FB"/>
    <w:rsid w:val="00EE5565"/>
    <w:rsid w:val="00EF3680"/>
    <w:rsid w:val="00EF42D0"/>
    <w:rsid w:val="00EF599A"/>
    <w:rsid w:val="00F00308"/>
    <w:rsid w:val="00F02A57"/>
    <w:rsid w:val="00F0511C"/>
    <w:rsid w:val="00F05FAF"/>
    <w:rsid w:val="00F24BFD"/>
    <w:rsid w:val="00F259BF"/>
    <w:rsid w:val="00F279FE"/>
    <w:rsid w:val="00F30EEB"/>
    <w:rsid w:val="00F35512"/>
    <w:rsid w:val="00F35A2B"/>
    <w:rsid w:val="00F51CA2"/>
    <w:rsid w:val="00F53127"/>
    <w:rsid w:val="00F60AE7"/>
    <w:rsid w:val="00F6452F"/>
    <w:rsid w:val="00F66793"/>
    <w:rsid w:val="00F860D6"/>
    <w:rsid w:val="00F93610"/>
    <w:rsid w:val="00F942A3"/>
    <w:rsid w:val="00F955DB"/>
    <w:rsid w:val="00F9769B"/>
    <w:rsid w:val="00FA4205"/>
    <w:rsid w:val="00FA45D5"/>
    <w:rsid w:val="00FA4731"/>
    <w:rsid w:val="00FB5C08"/>
    <w:rsid w:val="00FC583A"/>
    <w:rsid w:val="00FD6480"/>
    <w:rsid w:val="00FD7739"/>
    <w:rsid w:val="00FE49C8"/>
    <w:rsid w:val="00FE4A9F"/>
    <w:rsid w:val="00FF0687"/>
    <w:rsid w:val="00FF1CE7"/>
    <w:rsid w:val="07C96272"/>
    <w:rsid w:val="0A4F71FD"/>
    <w:rsid w:val="1212B5B6"/>
    <w:rsid w:val="3440ABCD"/>
    <w:rsid w:val="3BCEA4DD"/>
    <w:rsid w:val="540BD8D5"/>
    <w:rsid w:val="65DD0CA1"/>
    <w:rsid w:val="6C7B2C38"/>
    <w:rsid w:val="6EF4B9CC"/>
    <w:rsid w:val="6F79EC42"/>
    <w:rsid w:val="7C472B85"/>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6593A"/>
  <w15:docId w15:val="{86286353-96CE-4823-9012-04BF4C7E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11E9E"/>
    <w:pPr>
      <w:spacing w:line="200" w:lineRule="exact"/>
    </w:pPr>
    <w:rPr>
      <w:rFonts w:ascii="Segoe UI" w:hAnsi="Segoe UI"/>
    </w:rPr>
  </w:style>
  <w:style w:type="paragraph" w:styleId="Otsikko1">
    <w:name w:val="heading 1"/>
    <w:next w:val="Normaali"/>
    <w:link w:val="Otsikko1Char"/>
    <w:uiPriority w:val="9"/>
    <w:qFormat/>
    <w:rsid w:val="00895943"/>
    <w:pPr>
      <w:keepNext/>
      <w:keepLines/>
      <w:spacing w:before="240" w:after="0"/>
      <w:outlineLvl w:val="0"/>
    </w:pPr>
    <w:rPr>
      <w:rFonts w:ascii="Segoe UI" w:eastAsiaTheme="majorEastAsia" w:hAnsi="Segoe UI" w:cstheme="majorBidi"/>
      <w:sz w:val="32"/>
      <w:szCs w:val="32"/>
    </w:rPr>
  </w:style>
  <w:style w:type="paragraph" w:styleId="Otsikko2">
    <w:name w:val="heading 2"/>
    <w:basedOn w:val="Otsikko1"/>
    <w:next w:val="Normaali"/>
    <w:link w:val="Otsikko2Char"/>
    <w:uiPriority w:val="9"/>
    <w:unhideWhenUsed/>
    <w:qFormat/>
    <w:rsid w:val="00B1703A"/>
    <w:pPr>
      <w:spacing w:before="40"/>
      <w:outlineLvl w:val="1"/>
    </w:pPr>
    <w:rPr>
      <w:sz w:val="26"/>
      <w:szCs w:val="26"/>
    </w:rPr>
  </w:style>
  <w:style w:type="paragraph" w:styleId="Otsikko3">
    <w:name w:val="heading 3"/>
    <w:basedOn w:val="Otsikko2"/>
    <w:next w:val="Normaali"/>
    <w:link w:val="Otsikko3Char"/>
    <w:uiPriority w:val="9"/>
    <w:unhideWhenUsed/>
    <w:qFormat/>
    <w:rsid w:val="00D5464B"/>
    <w:pPr>
      <w:ind w:left="680"/>
      <w:outlineLvl w:val="2"/>
    </w:pPr>
    <w:rPr>
      <w:sz w:val="2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B85777"/>
    <w:pPr>
      <w:tabs>
        <w:tab w:val="center" w:pos="4819"/>
        <w:tab w:val="center" w:pos="5670"/>
        <w:tab w:val="center" w:pos="6804"/>
        <w:tab w:val="center" w:pos="7938"/>
        <w:tab w:val="center" w:pos="8505"/>
        <w:tab w:val="center" w:pos="8789"/>
        <w:tab w:val="center" w:pos="9072"/>
        <w:tab w:val="right" w:pos="9638"/>
      </w:tabs>
      <w:spacing w:after="0" w:line="240" w:lineRule="auto"/>
    </w:pPr>
  </w:style>
  <w:style w:type="character" w:customStyle="1" w:styleId="YltunnisteChar">
    <w:name w:val="Ylätunniste Char"/>
    <w:basedOn w:val="Kappaleenoletusfontti"/>
    <w:link w:val="Yltunniste"/>
    <w:uiPriority w:val="99"/>
    <w:rsid w:val="00B85777"/>
  </w:style>
  <w:style w:type="paragraph" w:styleId="Alatunniste">
    <w:name w:val="footer"/>
    <w:basedOn w:val="Yltunniste"/>
    <w:link w:val="AlatunnisteChar"/>
    <w:unhideWhenUsed/>
    <w:qFormat/>
    <w:rsid w:val="001D47EE"/>
    <w:rPr>
      <w:sz w:val="18"/>
    </w:rPr>
  </w:style>
  <w:style w:type="character" w:customStyle="1" w:styleId="AlatunnisteChar">
    <w:name w:val="Alatunniste Char"/>
    <w:basedOn w:val="Kappaleenoletusfontti"/>
    <w:link w:val="Alatunniste"/>
    <w:rsid w:val="001D47EE"/>
    <w:rPr>
      <w:sz w:val="18"/>
    </w:rPr>
  </w:style>
  <w:style w:type="paragraph" w:styleId="Seliteteksti">
    <w:name w:val="Balloon Text"/>
    <w:basedOn w:val="Normaali"/>
    <w:link w:val="SelitetekstiChar"/>
    <w:uiPriority w:val="99"/>
    <w:semiHidden/>
    <w:unhideWhenUsed/>
    <w:rsid w:val="0046258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6258E"/>
    <w:rPr>
      <w:rFonts w:ascii="Tahoma" w:hAnsi="Tahoma" w:cs="Tahoma"/>
      <w:sz w:val="16"/>
      <w:szCs w:val="16"/>
    </w:rPr>
  </w:style>
  <w:style w:type="paragraph" w:styleId="Luettelokappale">
    <w:name w:val="List Paragraph"/>
    <w:basedOn w:val="Normaali"/>
    <w:next w:val="Normaali"/>
    <w:link w:val="LuettelokappaleChar"/>
    <w:uiPriority w:val="34"/>
    <w:qFormat/>
    <w:rsid w:val="001D47EE"/>
    <w:pPr>
      <w:numPr>
        <w:numId w:val="2"/>
      </w:numPr>
      <w:ind w:left="1797" w:hanging="357"/>
      <w:contextualSpacing/>
    </w:pPr>
  </w:style>
  <w:style w:type="paragraph" w:customStyle="1" w:styleId="Numeroitulista">
    <w:name w:val="Numeroitu lista"/>
    <w:basedOn w:val="Luettelokappale"/>
    <w:next w:val="Normaali"/>
    <w:link w:val="NumeroitulistaChar"/>
    <w:qFormat/>
    <w:rsid w:val="00B1703A"/>
    <w:pPr>
      <w:numPr>
        <w:numId w:val="3"/>
      </w:numPr>
    </w:pPr>
  </w:style>
  <w:style w:type="paragraph" w:styleId="Numeroituluettelo">
    <w:name w:val="List Number"/>
    <w:basedOn w:val="Normaali"/>
    <w:uiPriority w:val="99"/>
    <w:semiHidden/>
    <w:unhideWhenUsed/>
    <w:rsid w:val="00B1703A"/>
    <w:pPr>
      <w:numPr>
        <w:numId w:val="1"/>
      </w:numPr>
      <w:contextualSpacing/>
    </w:pPr>
  </w:style>
  <w:style w:type="character" w:customStyle="1" w:styleId="Otsikko1Char">
    <w:name w:val="Otsikko 1 Char"/>
    <w:basedOn w:val="Kappaleenoletusfontti"/>
    <w:link w:val="Otsikko1"/>
    <w:uiPriority w:val="9"/>
    <w:rsid w:val="00895943"/>
    <w:rPr>
      <w:rFonts w:ascii="Segoe UI" w:eastAsiaTheme="majorEastAsia" w:hAnsi="Segoe UI" w:cstheme="majorBidi"/>
      <w:sz w:val="32"/>
      <w:szCs w:val="32"/>
    </w:rPr>
  </w:style>
  <w:style w:type="character" w:customStyle="1" w:styleId="LuettelokappaleChar">
    <w:name w:val="Luettelokappale Char"/>
    <w:basedOn w:val="Kappaleenoletusfontti"/>
    <w:link w:val="Luettelokappale"/>
    <w:uiPriority w:val="34"/>
    <w:rsid w:val="001D47EE"/>
  </w:style>
  <w:style w:type="character" w:customStyle="1" w:styleId="NumeroitulistaChar">
    <w:name w:val="Numeroitu lista Char"/>
    <w:basedOn w:val="LuettelokappaleChar"/>
    <w:link w:val="Numeroitulista"/>
    <w:rsid w:val="00B1703A"/>
  </w:style>
  <w:style w:type="paragraph" w:styleId="Eivli">
    <w:name w:val="No Spacing"/>
    <w:uiPriority w:val="1"/>
    <w:rsid w:val="00B1703A"/>
    <w:pPr>
      <w:spacing w:after="0" w:line="240" w:lineRule="auto"/>
      <w:ind w:left="227"/>
    </w:pPr>
  </w:style>
  <w:style w:type="character" w:customStyle="1" w:styleId="Otsikko2Char">
    <w:name w:val="Otsikko 2 Char"/>
    <w:basedOn w:val="Kappaleenoletusfontti"/>
    <w:link w:val="Otsikko2"/>
    <w:rsid w:val="00B1703A"/>
    <w:rPr>
      <w:rFonts w:asciiTheme="majorHAnsi" w:eastAsiaTheme="majorEastAsia" w:hAnsiTheme="majorHAnsi" w:cstheme="majorBidi"/>
      <w:sz w:val="26"/>
      <w:szCs w:val="26"/>
    </w:rPr>
  </w:style>
  <w:style w:type="character" w:customStyle="1" w:styleId="Otsikko3Char">
    <w:name w:val="Otsikko 3 Char"/>
    <w:basedOn w:val="Kappaleenoletusfontti"/>
    <w:link w:val="Otsikko3"/>
    <w:uiPriority w:val="9"/>
    <w:rsid w:val="00D5464B"/>
    <w:rPr>
      <w:rFonts w:asciiTheme="majorHAnsi" w:eastAsiaTheme="majorEastAsia" w:hAnsiTheme="majorHAnsi" w:cstheme="majorBidi"/>
      <w:szCs w:val="24"/>
    </w:rPr>
  </w:style>
  <w:style w:type="paragraph" w:styleId="Leipteksti">
    <w:name w:val="Body Text"/>
    <w:basedOn w:val="Normaali"/>
    <w:link w:val="LeiptekstiChar"/>
    <w:qFormat/>
    <w:rsid w:val="005F71AE"/>
    <w:pPr>
      <w:spacing w:before="120" w:after="240" w:line="280" w:lineRule="exact"/>
      <w:ind w:left="1440"/>
    </w:pPr>
    <w:rPr>
      <w:rFonts w:eastAsia="Times New Roman" w:cs="Times New Roman"/>
      <w:szCs w:val="24"/>
      <w:lang w:eastAsia="fi-FI"/>
    </w:rPr>
  </w:style>
  <w:style w:type="character" w:customStyle="1" w:styleId="LeiptekstiChar">
    <w:name w:val="Leipäteksti Char"/>
    <w:basedOn w:val="Kappaleenoletusfontti"/>
    <w:link w:val="Leipteksti"/>
    <w:rsid w:val="005F71AE"/>
    <w:rPr>
      <w:rFonts w:eastAsia="Times New Roman" w:cs="Times New Roman"/>
      <w:szCs w:val="24"/>
      <w:lang w:eastAsia="fi-FI"/>
    </w:rPr>
  </w:style>
  <w:style w:type="character" w:styleId="Hyperlinkki">
    <w:name w:val="Hyperlink"/>
    <w:basedOn w:val="Kappaleenoletusfontti"/>
    <w:uiPriority w:val="99"/>
    <w:unhideWhenUsed/>
    <w:rsid w:val="006F72A0"/>
    <w:rPr>
      <w:color w:val="0000FF" w:themeColor="hyperlink"/>
      <w:u w:val="single"/>
    </w:rPr>
  </w:style>
  <w:style w:type="character" w:styleId="Kommentinviite">
    <w:name w:val="annotation reference"/>
    <w:basedOn w:val="Kappaleenoletusfontti"/>
    <w:uiPriority w:val="99"/>
    <w:semiHidden/>
    <w:unhideWhenUsed/>
    <w:rsid w:val="006F72A0"/>
    <w:rPr>
      <w:sz w:val="16"/>
      <w:szCs w:val="16"/>
    </w:rPr>
  </w:style>
  <w:style w:type="paragraph" w:styleId="Kommentinteksti">
    <w:name w:val="annotation text"/>
    <w:basedOn w:val="Normaali"/>
    <w:link w:val="KommentintekstiChar"/>
    <w:uiPriority w:val="99"/>
    <w:unhideWhenUsed/>
    <w:rsid w:val="006F72A0"/>
    <w:pPr>
      <w:spacing w:before="120" w:after="120" w:line="240" w:lineRule="auto"/>
    </w:pPr>
    <w:rPr>
      <w:rFonts w:asciiTheme="minorHAnsi" w:hAnsiTheme="minorHAnsi"/>
      <w:sz w:val="20"/>
      <w:szCs w:val="20"/>
    </w:rPr>
  </w:style>
  <w:style w:type="character" w:customStyle="1" w:styleId="KommentintekstiChar">
    <w:name w:val="Kommentin teksti Char"/>
    <w:basedOn w:val="Kappaleenoletusfontti"/>
    <w:link w:val="Kommentinteksti"/>
    <w:uiPriority w:val="99"/>
    <w:rsid w:val="006F72A0"/>
    <w:rPr>
      <w:sz w:val="20"/>
      <w:szCs w:val="20"/>
    </w:rPr>
  </w:style>
  <w:style w:type="paragraph" w:styleId="Kommentinotsikko">
    <w:name w:val="annotation subject"/>
    <w:basedOn w:val="Kommentinteksti"/>
    <w:next w:val="Kommentinteksti"/>
    <w:link w:val="KommentinotsikkoChar"/>
    <w:uiPriority w:val="99"/>
    <w:semiHidden/>
    <w:unhideWhenUsed/>
    <w:rsid w:val="00FD6480"/>
    <w:pPr>
      <w:spacing w:before="0" w:after="200"/>
    </w:pPr>
    <w:rPr>
      <w:rFonts w:ascii="Segoe UI" w:hAnsi="Segoe UI"/>
      <w:b/>
      <w:bCs/>
    </w:rPr>
  </w:style>
  <w:style w:type="character" w:customStyle="1" w:styleId="KommentinotsikkoChar">
    <w:name w:val="Kommentin otsikko Char"/>
    <w:basedOn w:val="KommentintekstiChar"/>
    <w:link w:val="Kommentinotsikko"/>
    <w:uiPriority w:val="99"/>
    <w:semiHidden/>
    <w:rsid w:val="00FD6480"/>
    <w:rPr>
      <w:rFonts w:ascii="Segoe UI" w:hAnsi="Segoe UI"/>
      <w:b/>
      <w:bCs/>
      <w:sz w:val="20"/>
      <w:szCs w:val="20"/>
    </w:rPr>
  </w:style>
  <w:style w:type="paragraph" w:styleId="Muutos">
    <w:name w:val="Revision"/>
    <w:hidden/>
    <w:uiPriority w:val="99"/>
    <w:semiHidden/>
    <w:rsid w:val="0086757E"/>
    <w:pPr>
      <w:spacing w:after="0" w:line="240" w:lineRule="auto"/>
    </w:pPr>
    <w:rPr>
      <w:rFonts w:ascii="Segoe UI" w:hAnsi="Segoe UI"/>
    </w:rPr>
  </w:style>
  <w:style w:type="table" w:styleId="TaulukkoRuudukko">
    <w:name w:val="Table Grid"/>
    <w:basedOn w:val="Normaalitaulukko"/>
    <w:uiPriority w:val="59"/>
    <w:rsid w:val="00A06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unhideWhenUsed/>
    <w:qFormat/>
    <w:rsid w:val="00506BF0"/>
    <w:pPr>
      <w:spacing w:line="240" w:lineRule="auto"/>
    </w:pPr>
    <w:rPr>
      <w:i/>
      <w:iCs/>
      <w:color w:val="1F497D" w:themeColor="text2"/>
      <w:sz w:val="18"/>
      <w:szCs w:val="18"/>
    </w:rPr>
  </w:style>
  <w:style w:type="character" w:styleId="Ratkaisematonmaininta">
    <w:name w:val="Unresolved Mention"/>
    <w:basedOn w:val="Kappaleenoletusfontti"/>
    <w:uiPriority w:val="99"/>
    <w:semiHidden/>
    <w:unhideWhenUsed/>
    <w:rsid w:val="00EE0418"/>
    <w:rPr>
      <w:color w:val="605E5C"/>
      <w:shd w:val="clear" w:color="auto" w:fill="E1DFDD"/>
    </w:rPr>
  </w:style>
  <w:style w:type="character" w:styleId="Maininta">
    <w:name w:val="Mention"/>
    <w:basedOn w:val="Kappaleenoletusfontti"/>
    <w:uiPriority w:val="99"/>
    <w:unhideWhenUsed/>
    <w:rsid w:val="00B66C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kansallisarkisto.f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849d178-8603-4ee7-a1ca-2da810db9f47" xsi:nil="true"/>
    <lcf76f155ced4ddcb4097134ff3c332f xmlns="ba3e4a57-2aa2-48ad-972d-33b5daea1628">
      <Terms xmlns="http://schemas.microsoft.com/office/infopath/2007/PartnerControls"/>
    </lcf76f155ced4ddcb4097134ff3c332f>
    <Diaarinumeto xmlns="ba3e4a57-2aa2-48ad-972d-33b5daea162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A21DF8F2F5D278409AB5DE0FA27DBB48" ma:contentTypeVersion="17" ma:contentTypeDescription="Luo uusi asiakirja." ma:contentTypeScope="" ma:versionID="1338a5f7c210adbf26e60b75f3ac4b02">
  <xsd:schema xmlns:xsd="http://www.w3.org/2001/XMLSchema" xmlns:xs="http://www.w3.org/2001/XMLSchema" xmlns:p="http://schemas.microsoft.com/office/2006/metadata/properties" xmlns:ns2="ba3e4a57-2aa2-48ad-972d-33b5daea1628" xmlns:ns3="e1b56ffb-12fb-46f8-8804-1e653f06737a" xmlns:ns4="a849d178-8603-4ee7-a1ca-2da810db9f47" targetNamespace="http://schemas.microsoft.com/office/2006/metadata/properties" ma:root="true" ma:fieldsID="b202e41c2d9d98bc9f1e3c28a4d6dac6" ns2:_="" ns3:_="" ns4:_="">
    <xsd:import namespace="ba3e4a57-2aa2-48ad-972d-33b5daea1628"/>
    <xsd:import namespace="e1b56ffb-12fb-46f8-8804-1e653f06737a"/>
    <xsd:import namespace="a849d178-8603-4ee7-a1ca-2da810db9f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DateTaken" minOccurs="0"/>
                <xsd:element ref="ns2:MediaServiceSearchProperties" minOccurs="0"/>
                <xsd:element ref="ns2:Diaarinume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e4a57-2aa2-48ad-972d-33b5daea1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e77034fe-6e53-4b21-a3cf-447703c7b749"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iaarinumeto" ma:index="24" nillable="true" ma:displayName="Diaarinumero" ma:format="Dropdown" ma:internalName="Diaarinum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56ffb-12fb-46f8-8804-1e653f06737a"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9d178-8603-4ee7-a1ca-2da810db9f4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f8426b-0f2e-4738-bfc6-ec0d93b255a2}" ma:internalName="TaxCatchAll" ma:showField="CatchAllData" ma:web="e1b56ffb-12fb-46f8-8804-1e653f0673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13EA5-D8C0-4869-94E0-953D31D35D62}">
  <ds:schemaRefs>
    <ds:schemaRef ds:uri="http://schemas.microsoft.com/sharepoint/v3/contenttype/forms"/>
  </ds:schemaRefs>
</ds:datastoreItem>
</file>

<file path=customXml/itemProps2.xml><?xml version="1.0" encoding="utf-8"?>
<ds:datastoreItem xmlns:ds="http://schemas.openxmlformats.org/officeDocument/2006/customXml" ds:itemID="{A62A5F9F-6478-4353-A321-7EAF398C31E8}">
  <ds:schemaRefs>
    <ds:schemaRef ds:uri="http://schemas.openxmlformats.org/officeDocument/2006/bibliography"/>
  </ds:schemaRefs>
</ds:datastoreItem>
</file>

<file path=customXml/itemProps3.xml><?xml version="1.0" encoding="utf-8"?>
<ds:datastoreItem xmlns:ds="http://schemas.openxmlformats.org/officeDocument/2006/customXml" ds:itemID="{E997FB56-D029-4918-87A3-F104EED46A68}">
  <ds:schemaRefs>
    <ds:schemaRef ds:uri="http://schemas.microsoft.com/office/2006/metadata/properties"/>
    <ds:schemaRef ds:uri="http://schemas.microsoft.com/office/infopath/2007/PartnerControls"/>
    <ds:schemaRef ds:uri="a849d178-8603-4ee7-a1ca-2da810db9f47"/>
    <ds:schemaRef ds:uri="ba3e4a57-2aa2-48ad-972d-33b5daea1628"/>
  </ds:schemaRefs>
</ds:datastoreItem>
</file>

<file path=customXml/itemProps4.xml><?xml version="1.0" encoding="utf-8"?>
<ds:datastoreItem xmlns:ds="http://schemas.openxmlformats.org/officeDocument/2006/customXml" ds:itemID="{A686AAF0-C983-4769-A1AF-33EF29A26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e4a57-2aa2-48ad-972d-33b5daea1628"/>
    <ds:schemaRef ds:uri="e1b56ffb-12fb-46f8-8804-1e653f06737a"/>
    <ds:schemaRef ds:uri="a849d178-8603-4ee7-a1ca-2da810db9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1373</Words>
  <Characters>11129</Characters>
  <Application>Microsoft Office Word</Application>
  <DocSecurity>4</DocSecurity>
  <Lines>92</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dc:creator>
  <cp:lastModifiedBy>Saarela Inka (KA)</cp:lastModifiedBy>
  <cp:revision>2</cp:revision>
  <cp:lastPrinted>2025-03-20T10:48:00Z</cp:lastPrinted>
  <dcterms:created xsi:type="dcterms:W3CDTF">2025-07-25T15:22:00Z</dcterms:created>
  <dcterms:modified xsi:type="dcterms:W3CDTF">2025-07-25T15:22:00Z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0x010100A21DF8F2F5D278409AB5DE0FA27DBB48</vt:lpwstr>
  </property>
  <property fmtid="{D5CDD505-2E9C-101B-9397-08002B2CF9AE}" pid="3" name="MediaServiceImageTags">
    <vt:lpwstr/>
  </property>
  <property fmtid="{D5CDD505-2E9C-101B-9397-08002B2CF9AE}" pid="4" name="tweb_doc_id">
    <vt:lpwstr>1531913</vt:lpwstr>
  </property>
  <property fmtid="{D5CDD505-2E9C-101B-9397-08002B2CF9AE}" pid="5" name="tweb_doc_version">
    <vt:lpwstr/>
  </property>
  <property fmtid="{D5CDD505-2E9C-101B-9397-08002B2CF9AE}" pid="6" name="tweb_doc_title">
    <vt:lpwstr>Päätös julkisen terveydenhuollon potilasasiakirjojen pysyvästä säilytyksestä</vt:lpwstr>
  </property>
  <property fmtid="{D5CDD505-2E9C-101B-9397-08002B2CF9AE}" pid="7" name="tweb_doc_typecode">
    <vt:lpwstr>28.02.01.06</vt:lpwstr>
  </property>
  <property fmtid="{D5CDD505-2E9C-101B-9397-08002B2CF9AE}" pid="8" name="tweb_doc_typename">
    <vt:lpwstr>Päätös</vt:lpwstr>
  </property>
  <property fmtid="{D5CDD505-2E9C-101B-9397-08002B2CF9AE}" pid="9" name="tweb_doc_description">
    <vt:lpwstr/>
  </property>
  <property fmtid="{D5CDD505-2E9C-101B-9397-08002B2CF9AE}" pid="10" name="tweb_doc_status">
    <vt:lpwstr>Hyväksytty</vt:lpwstr>
  </property>
  <property fmtid="{D5CDD505-2E9C-101B-9397-08002B2CF9AE}" pid="11" name="tweb_doc_identifier">
    <vt:lpwstr>KA/13183/28.02.01/2024</vt:lpwstr>
  </property>
  <property fmtid="{D5CDD505-2E9C-101B-9397-08002B2CF9AE}" pid="12" name="tweb_doc_publicityclass">
    <vt:lpwstr/>
  </property>
  <property fmtid="{D5CDD505-2E9C-101B-9397-08002B2CF9AE}" pid="13" name="tweb_doc_securityclass">
    <vt:lpwstr> </vt:lpwstr>
  </property>
  <property fmtid="{D5CDD505-2E9C-101B-9397-08002B2CF9AE}" pid="14" name="tweb_doc_securityreason">
    <vt:lpwstr/>
  </property>
  <property fmtid="{D5CDD505-2E9C-101B-9397-08002B2CF9AE}" pid="15" name="tweb_doc_securityperiod">
    <vt:lpwstr>0</vt:lpwstr>
  </property>
  <property fmtid="{D5CDD505-2E9C-101B-9397-08002B2CF9AE}" pid="16" name="tweb_doc_securityperiodstart">
    <vt:lpwstr/>
  </property>
  <property fmtid="{D5CDD505-2E9C-101B-9397-08002B2CF9AE}" pid="17" name="tweb_doc_securityperiodend">
    <vt:lpwstr/>
  </property>
  <property fmtid="{D5CDD505-2E9C-101B-9397-08002B2CF9AE}" pid="18" name="tweb_doc_owner">
    <vt:lpwstr>Vallenius Marita</vt:lpwstr>
  </property>
  <property fmtid="{D5CDD505-2E9C-101B-9397-08002B2CF9AE}" pid="19" name="tweb_doc_creator">
    <vt:lpwstr>Vallenius Marita</vt:lpwstr>
  </property>
  <property fmtid="{D5CDD505-2E9C-101B-9397-08002B2CF9AE}" pid="20" name="tweb_doc_publisher">
    <vt:lpwstr>Kansallisarkisto/Ohjaus- ja vastaanottopalvelut/Turku</vt:lpwstr>
  </property>
  <property fmtid="{D5CDD505-2E9C-101B-9397-08002B2CF9AE}" pid="21" name="tweb_doc_contributor">
    <vt:lpwstr/>
  </property>
  <property fmtid="{D5CDD505-2E9C-101B-9397-08002B2CF9AE}" pid="22" name="tweb_doc_fileextension">
    <vt:lpwstr>DOCX</vt:lpwstr>
  </property>
  <property fmtid="{D5CDD505-2E9C-101B-9397-08002B2CF9AE}" pid="23" name="tweb_doc_language">
    <vt:lpwstr>suomi</vt:lpwstr>
  </property>
  <property fmtid="{D5CDD505-2E9C-101B-9397-08002B2CF9AE}" pid="24" name="tweb_doc_created">
    <vt:lpwstr>09.06.2025</vt:lpwstr>
  </property>
  <property fmtid="{D5CDD505-2E9C-101B-9397-08002B2CF9AE}" pid="25" name="tweb_doc_modified">
    <vt:lpwstr>09.06.2025</vt:lpwstr>
  </property>
  <property fmtid="{D5CDD505-2E9C-101B-9397-08002B2CF9AE}" pid="26" name="tweb_doc_available">
    <vt:lpwstr/>
  </property>
  <property fmtid="{D5CDD505-2E9C-101B-9397-08002B2CF9AE}" pid="27" name="tweb_doc_acquired">
    <vt:lpwstr/>
  </property>
  <property fmtid="{D5CDD505-2E9C-101B-9397-08002B2CF9AE}" pid="28" name="tweb_doc_issued">
    <vt:lpwstr/>
  </property>
  <property fmtid="{D5CDD505-2E9C-101B-9397-08002B2CF9AE}" pid="29" name="tweb_doc_accepted">
    <vt:lpwstr>09.06.2025</vt:lpwstr>
  </property>
  <property fmtid="{D5CDD505-2E9C-101B-9397-08002B2CF9AE}" pid="30" name="tweb_doc_validfrom">
    <vt:lpwstr/>
  </property>
  <property fmtid="{D5CDD505-2E9C-101B-9397-08002B2CF9AE}" pid="31" name="tweb_doc_validto">
    <vt:lpwstr/>
  </property>
  <property fmtid="{D5CDD505-2E9C-101B-9397-08002B2CF9AE}" pid="32" name="tweb_doc_protectionclass">
    <vt:lpwstr>Ei suojeluluokiteltu</vt:lpwstr>
  </property>
  <property fmtid="{D5CDD505-2E9C-101B-9397-08002B2CF9AE}" pid="33" name="tweb_doc_retentionperiodstart">
    <vt:lpwstr/>
  </property>
  <property fmtid="{D5CDD505-2E9C-101B-9397-08002B2CF9AE}" pid="34" name="tweb_doc_retentionperiodend">
    <vt:lpwstr/>
  </property>
  <property fmtid="{D5CDD505-2E9C-101B-9397-08002B2CF9AE}" pid="35" name="tweb_doc_storagelocation">
    <vt:lpwstr/>
  </property>
  <property fmtid="{D5CDD505-2E9C-101B-9397-08002B2CF9AE}" pid="36" name="tweb_doc_publicationid">
    <vt:lpwstr/>
  </property>
  <property fmtid="{D5CDD505-2E9C-101B-9397-08002B2CF9AE}" pid="37" name="tweb_doc_copyright">
    <vt:lpwstr/>
  </property>
  <property fmtid="{D5CDD505-2E9C-101B-9397-08002B2CF9AE}" pid="38" name="tweb_doc_decisionnumber">
    <vt:lpwstr/>
  </property>
  <property fmtid="{D5CDD505-2E9C-101B-9397-08002B2CF9AE}" pid="39" name="tweb_doc_decisionyear">
    <vt:lpwstr>0</vt:lpwstr>
  </property>
  <property fmtid="{D5CDD505-2E9C-101B-9397-08002B2CF9AE}" pid="40" name="tweb_doc_xsubjectlist">
    <vt:lpwstr/>
  </property>
  <property fmtid="{D5CDD505-2E9C-101B-9397-08002B2CF9AE}" pid="41" name="tweb_doc_presenter">
    <vt:lpwstr/>
  </property>
  <property fmtid="{D5CDD505-2E9C-101B-9397-08002B2CF9AE}" pid="42" name="tweb_doc_solver">
    <vt:lpwstr/>
  </property>
  <property fmtid="{D5CDD505-2E9C-101B-9397-08002B2CF9AE}" pid="43" name="tweb_doc_otherid">
    <vt:lpwstr/>
  </property>
  <property fmtid="{D5CDD505-2E9C-101B-9397-08002B2CF9AE}" pid="44" name="tweb_doc_deadline">
    <vt:lpwstr/>
  </property>
  <property fmtid="{D5CDD505-2E9C-101B-9397-08002B2CF9AE}" pid="45" name="tweb_doc_mamiversion">
    <vt:lpwstr>1.0</vt:lpwstr>
  </property>
  <property fmtid="{D5CDD505-2E9C-101B-9397-08002B2CF9AE}" pid="46" name="tweb_doc_alternativetitle">
    <vt:lpwstr/>
  </property>
  <property fmtid="{D5CDD505-2E9C-101B-9397-08002B2CF9AE}" pid="47" name="tweb_doc_notificationperiodstart">
    <vt:lpwstr/>
  </property>
  <property fmtid="{D5CDD505-2E9C-101B-9397-08002B2CF9AE}" pid="48" name="tweb_doc_notificationperiodend">
    <vt:lpwstr/>
  </property>
  <property fmtid="{D5CDD505-2E9C-101B-9397-08002B2CF9AE}" pid="49" name="tweb_doc_xfilekey">
    <vt:lpwstr>VIEWdb3a9e3edf3bc8728eeb11710e67344</vt:lpwstr>
  </property>
  <property fmtid="{D5CDD505-2E9C-101B-9397-08002B2CF9AE}" pid="50" name="tweb_doc_atts">
    <vt:lpwstr/>
  </property>
  <property fmtid="{D5CDD505-2E9C-101B-9397-08002B2CF9AE}" pid="51" name="tweb_doc_eoperators">
    <vt:lpwstr/>
  </property>
  <property fmtid="{D5CDD505-2E9C-101B-9397-08002B2CF9AE}" pid="52" name="tweb_item_title">
    <vt:lpwstr>Julkisen terveydenhuollon potilasasiakirjojen pysyvä säilytys</vt:lpwstr>
  </property>
  <property fmtid="{D5CDD505-2E9C-101B-9397-08002B2CF9AE}" pid="53" name="editKey">
    <vt:lpwstr/>
  </property>
</Properties>
</file>